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2C9E32" w14:textId="77777777" w:rsidR="0037617D" w:rsidRDefault="0037617D">
      <w:pPr>
        <w:pStyle w:val="Title"/>
      </w:pPr>
      <w:bookmarkStart w:id="0" w:name="_GoBack"/>
      <w:bookmarkEnd w:id="0"/>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6"/>
        <w:gridCol w:w="6582"/>
      </w:tblGrid>
      <w:tr w:rsidR="00CF3BBB" w:rsidRPr="000250E1" w14:paraId="297B3881" w14:textId="77777777" w:rsidTr="00FC644D">
        <w:trPr>
          <w:trHeight w:val="1070"/>
        </w:trPr>
        <w:tc>
          <w:tcPr>
            <w:tcW w:w="3126" w:type="dxa"/>
            <w:vMerge w:val="restart"/>
            <w:tcBorders>
              <w:right w:val="single" w:sz="4" w:space="0" w:color="auto"/>
            </w:tcBorders>
          </w:tcPr>
          <w:p w14:paraId="6EBDD7B3" w14:textId="77777777" w:rsidR="00CF3BBB" w:rsidRPr="000250E1" w:rsidRDefault="009835AA" w:rsidP="00FC644D">
            <w:pPr>
              <w:rPr>
                <w:b/>
              </w:rPr>
            </w:pPr>
            <w:r>
              <w:rPr>
                <w:b/>
                <w:noProof/>
              </w:rPr>
              <w:drawing>
                <wp:inline distT="0" distB="0" distL="0" distR="0" wp14:anchorId="7D5F06B8" wp14:editId="3B9230D2">
                  <wp:extent cx="1828800" cy="1036320"/>
                  <wp:effectExtent l="0" t="0" r="0" b="0"/>
                  <wp:docPr id="1" name="Picture 1" descr="the rea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real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0" cy="1036320"/>
                          </a:xfrm>
                          <a:prstGeom prst="rect">
                            <a:avLst/>
                          </a:prstGeom>
                          <a:noFill/>
                          <a:ln>
                            <a:noFill/>
                          </a:ln>
                          <a:effectLst>
                            <a:softEdge rad="12700"/>
                          </a:effectLst>
                        </pic:spPr>
                      </pic:pic>
                    </a:graphicData>
                  </a:graphic>
                </wp:inline>
              </w:drawing>
            </w:r>
          </w:p>
        </w:tc>
        <w:tc>
          <w:tcPr>
            <w:tcW w:w="6582" w:type="dxa"/>
            <w:vMerge w:val="restart"/>
            <w:tcBorders>
              <w:top w:val="single" w:sz="4" w:space="0" w:color="auto"/>
              <w:left w:val="single" w:sz="4" w:space="0" w:color="auto"/>
              <w:right w:val="single" w:sz="4" w:space="0" w:color="auto"/>
            </w:tcBorders>
          </w:tcPr>
          <w:p w14:paraId="0408F1D5" w14:textId="77777777" w:rsidR="00CF3BBB" w:rsidRDefault="00CF3BBB" w:rsidP="00FC644D">
            <w:pPr>
              <w:jc w:val="center"/>
              <w:rPr>
                <w:b/>
                <w:szCs w:val="24"/>
              </w:rPr>
            </w:pPr>
            <w:r w:rsidRPr="00B039C9">
              <w:rPr>
                <w:b/>
                <w:szCs w:val="24"/>
              </w:rPr>
              <w:t>Policy Manual:</w:t>
            </w:r>
            <w:r>
              <w:rPr>
                <w:b/>
                <w:szCs w:val="24"/>
              </w:rPr>
              <w:t xml:space="preserve">  Revenue Cycle</w:t>
            </w:r>
          </w:p>
          <w:p w14:paraId="663218F9" w14:textId="77777777" w:rsidR="00CF3BBB" w:rsidRDefault="00CF3BBB" w:rsidP="00FC644D">
            <w:pPr>
              <w:jc w:val="center"/>
              <w:rPr>
                <w:b/>
                <w:szCs w:val="24"/>
              </w:rPr>
            </w:pPr>
            <w:r>
              <w:rPr>
                <w:b/>
                <w:szCs w:val="24"/>
              </w:rPr>
              <w:t>Patient Financial Services</w:t>
            </w:r>
          </w:p>
          <w:p w14:paraId="2AF4E2D2" w14:textId="77777777" w:rsidR="00CF3BBB" w:rsidRPr="00B039C9" w:rsidRDefault="00CF3BBB" w:rsidP="00FC644D">
            <w:pPr>
              <w:jc w:val="center"/>
              <w:rPr>
                <w:b/>
                <w:szCs w:val="24"/>
              </w:rPr>
            </w:pPr>
          </w:p>
          <w:p w14:paraId="0FAE6E61" w14:textId="77777777" w:rsidR="00CF3BBB" w:rsidRPr="00B039C9" w:rsidRDefault="00CF3BBB" w:rsidP="00FC644D">
            <w:pPr>
              <w:rPr>
                <w:szCs w:val="24"/>
              </w:rPr>
            </w:pPr>
            <w:r w:rsidRPr="005842CA">
              <w:rPr>
                <w:b/>
                <w:szCs w:val="24"/>
              </w:rPr>
              <w:t>Policy:</w:t>
            </w:r>
            <w:r>
              <w:rPr>
                <w:b/>
                <w:szCs w:val="24"/>
              </w:rPr>
              <w:t xml:space="preserve">                       Financial Assistance and Uninsured Program</w:t>
            </w:r>
          </w:p>
          <w:p w14:paraId="31CD3BC8" w14:textId="77777777" w:rsidR="00CF3BBB" w:rsidRPr="00CF3BBB" w:rsidRDefault="00CF3BBB" w:rsidP="00FC644D">
            <w:pPr>
              <w:rPr>
                <w:szCs w:val="24"/>
              </w:rPr>
            </w:pPr>
          </w:p>
        </w:tc>
      </w:tr>
      <w:tr w:rsidR="00CF3BBB" w:rsidRPr="000250E1" w14:paraId="54A822D3" w14:textId="77777777" w:rsidTr="00FC644D">
        <w:trPr>
          <w:trHeight w:val="230"/>
        </w:trPr>
        <w:tc>
          <w:tcPr>
            <w:tcW w:w="3126" w:type="dxa"/>
            <w:vMerge/>
            <w:tcBorders>
              <w:right w:val="single" w:sz="4" w:space="0" w:color="auto"/>
            </w:tcBorders>
          </w:tcPr>
          <w:p w14:paraId="77338653" w14:textId="77777777" w:rsidR="00CF3BBB" w:rsidRPr="000250E1" w:rsidRDefault="00CF3BBB" w:rsidP="00FC644D"/>
        </w:tc>
        <w:tc>
          <w:tcPr>
            <w:tcW w:w="6582" w:type="dxa"/>
            <w:vMerge/>
            <w:tcBorders>
              <w:left w:val="single" w:sz="4" w:space="0" w:color="auto"/>
              <w:right w:val="single" w:sz="4" w:space="0" w:color="auto"/>
            </w:tcBorders>
          </w:tcPr>
          <w:p w14:paraId="0EB519B6" w14:textId="77777777" w:rsidR="00CF3BBB" w:rsidRPr="000250E1" w:rsidRDefault="00CF3BBB" w:rsidP="00FC644D"/>
        </w:tc>
      </w:tr>
    </w:tbl>
    <w:p w14:paraId="514CCBF9" w14:textId="77777777" w:rsidR="0037617D" w:rsidRDefault="0037617D">
      <w:pPr>
        <w:rPr>
          <w:rFonts w:ascii="Book Antiqua" w:hAnsi="Book Antiqua"/>
          <w:sz w:val="24"/>
        </w:rPr>
      </w:pPr>
    </w:p>
    <w:p w14:paraId="6AA0DB50" w14:textId="1BB83C64" w:rsidR="0037617D" w:rsidRPr="0017412A" w:rsidRDefault="0037617D">
      <w:pPr>
        <w:rPr>
          <w:rFonts w:ascii="Book Antiqua" w:hAnsi="Book Antiqua"/>
          <w:b/>
          <w:sz w:val="24"/>
          <w:u w:val="single"/>
        </w:rPr>
      </w:pPr>
      <w:r w:rsidRPr="0017412A">
        <w:rPr>
          <w:rFonts w:ascii="Book Antiqua" w:hAnsi="Book Antiqua"/>
          <w:b/>
          <w:sz w:val="24"/>
          <w:u w:val="single"/>
        </w:rPr>
        <w:t>Scope</w:t>
      </w:r>
    </w:p>
    <w:p w14:paraId="380A866C" w14:textId="5949E6AC" w:rsidR="0037617D" w:rsidRDefault="00B03A80">
      <w:pPr>
        <w:rPr>
          <w:rFonts w:ascii="Book Antiqua" w:hAnsi="Book Antiqua"/>
          <w:sz w:val="24"/>
        </w:rPr>
      </w:pPr>
      <w:r>
        <w:rPr>
          <w:rFonts w:ascii="Book Antiqua" w:hAnsi="Book Antiqua"/>
          <w:sz w:val="24"/>
        </w:rPr>
        <w:t xml:space="preserve">Patient Access, </w:t>
      </w:r>
      <w:r w:rsidR="00C61CEE">
        <w:rPr>
          <w:rFonts w:ascii="Book Antiqua" w:hAnsi="Book Antiqua"/>
          <w:sz w:val="24"/>
        </w:rPr>
        <w:t>Rural Health Clinic(s)</w:t>
      </w:r>
      <w:r>
        <w:rPr>
          <w:rFonts w:ascii="Book Antiqua" w:hAnsi="Book Antiqua"/>
          <w:sz w:val="24"/>
        </w:rPr>
        <w:t xml:space="preserve"> and </w:t>
      </w:r>
      <w:r w:rsidR="0037617D">
        <w:rPr>
          <w:rFonts w:ascii="Book Antiqua" w:hAnsi="Book Antiqua"/>
          <w:sz w:val="24"/>
        </w:rPr>
        <w:t>Patient Financial Services</w:t>
      </w:r>
    </w:p>
    <w:p w14:paraId="06D3A877" w14:textId="77777777" w:rsidR="0037617D" w:rsidRDefault="0037617D">
      <w:pPr>
        <w:rPr>
          <w:rFonts w:ascii="Book Antiqua" w:hAnsi="Book Antiqua"/>
          <w:sz w:val="24"/>
        </w:rPr>
      </w:pPr>
    </w:p>
    <w:p w14:paraId="76C2A91C" w14:textId="067EA20E" w:rsidR="0037617D" w:rsidRPr="0017412A" w:rsidRDefault="0037617D">
      <w:pPr>
        <w:rPr>
          <w:rFonts w:ascii="Book Antiqua" w:hAnsi="Book Antiqua"/>
          <w:b/>
          <w:sz w:val="24"/>
          <w:u w:val="single"/>
        </w:rPr>
      </w:pPr>
      <w:r w:rsidRPr="0017412A">
        <w:rPr>
          <w:rFonts w:ascii="Book Antiqua" w:hAnsi="Book Antiqua"/>
          <w:b/>
          <w:sz w:val="24"/>
          <w:u w:val="single"/>
        </w:rPr>
        <w:t>Purpose</w:t>
      </w:r>
    </w:p>
    <w:p w14:paraId="24DE8F6F" w14:textId="77777777" w:rsidR="0037617D" w:rsidRDefault="0037617D">
      <w:pPr>
        <w:rPr>
          <w:rFonts w:ascii="Book Antiqua" w:hAnsi="Book Antiqua"/>
          <w:sz w:val="24"/>
        </w:rPr>
      </w:pPr>
      <w:r>
        <w:rPr>
          <w:rFonts w:ascii="Book Antiqua" w:hAnsi="Book Antiqua"/>
          <w:sz w:val="24"/>
        </w:rPr>
        <w:t xml:space="preserve">To provide a financial assistance </w:t>
      </w:r>
      <w:r w:rsidR="006558A4">
        <w:rPr>
          <w:rFonts w:ascii="Book Antiqua" w:hAnsi="Book Antiqua"/>
          <w:sz w:val="24"/>
        </w:rPr>
        <w:t xml:space="preserve">(charity) </w:t>
      </w:r>
      <w:r>
        <w:rPr>
          <w:rFonts w:ascii="Book Antiqua" w:hAnsi="Book Antiqua"/>
          <w:sz w:val="24"/>
        </w:rPr>
        <w:t xml:space="preserve">program to </w:t>
      </w:r>
      <w:r w:rsidR="00B03A80">
        <w:rPr>
          <w:rFonts w:ascii="Book Antiqua" w:hAnsi="Book Antiqua"/>
          <w:sz w:val="24"/>
        </w:rPr>
        <w:t xml:space="preserve">patients to </w:t>
      </w:r>
      <w:r>
        <w:rPr>
          <w:rFonts w:ascii="Book Antiqua" w:hAnsi="Book Antiqua"/>
          <w:sz w:val="24"/>
        </w:rPr>
        <w:t>defray the cost of medically necessary services for those patients who meet the guidelines set forth in this policy.</w:t>
      </w:r>
    </w:p>
    <w:p w14:paraId="093168DF" w14:textId="77777777" w:rsidR="0037617D" w:rsidRDefault="0037617D">
      <w:pPr>
        <w:rPr>
          <w:rFonts w:ascii="Book Antiqua" w:hAnsi="Book Antiqua"/>
          <w:sz w:val="24"/>
        </w:rPr>
      </w:pPr>
    </w:p>
    <w:p w14:paraId="1FF21809" w14:textId="431BA224" w:rsidR="0037617D" w:rsidRPr="0017412A" w:rsidRDefault="0037617D">
      <w:pPr>
        <w:rPr>
          <w:rFonts w:ascii="Book Antiqua" w:hAnsi="Book Antiqua"/>
          <w:b/>
          <w:sz w:val="24"/>
          <w:u w:val="single"/>
        </w:rPr>
      </w:pPr>
      <w:r w:rsidRPr="0017412A">
        <w:rPr>
          <w:rFonts w:ascii="Book Antiqua" w:hAnsi="Book Antiqua"/>
          <w:b/>
          <w:sz w:val="24"/>
          <w:u w:val="single"/>
        </w:rPr>
        <w:t>Policy</w:t>
      </w:r>
    </w:p>
    <w:p w14:paraId="2590E664" w14:textId="77777777" w:rsidR="0037617D" w:rsidRDefault="00B03A80">
      <w:pPr>
        <w:rPr>
          <w:rFonts w:ascii="Book Antiqua" w:hAnsi="Book Antiqua"/>
          <w:sz w:val="24"/>
        </w:rPr>
      </w:pPr>
      <w:r>
        <w:rPr>
          <w:rFonts w:ascii="Book Antiqua" w:hAnsi="Book Antiqua"/>
          <w:sz w:val="24"/>
        </w:rPr>
        <w:t>Roane General Hospital (RGH) recognizes that not all patients meet eligibility requirements for federal and state insurance programs.  Additionally, even though the Marketplace may provide insurance, high dollar patient responsibilities may not be affordable to some patients.  Therefore, in addition to assisting patients in determining eligibility for federal and state programs, RGH offers Financial Assistance (FA) to eligible individuals.</w:t>
      </w:r>
    </w:p>
    <w:p w14:paraId="42E34AFE" w14:textId="77777777" w:rsidR="0037617D" w:rsidRDefault="0037617D">
      <w:pPr>
        <w:rPr>
          <w:rFonts w:ascii="Book Antiqua" w:hAnsi="Book Antiqua"/>
          <w:sz w:val="24"/>
        </w:rPr>
      </w:pPr>
    </w:p>
    <w:p w14:paraId="11FBF660" w14:textId="16E81433" w:rsidR="0037617D" w:rsidRDefault="0037617D" w:rsidP="0017412A">
      <w:pPr>
        <w:ind w:firstLine="360"/>
        <w:rPr>
          <w:rFonts w:ascii="Book Antiqua" w:hAnsi="Book Antiqua"/>
          <w:bCs/>
          <w:sz w:val="24"/>
          <w:u w:val="single"/>
        </w:rPr>
      </w:pPr>
      <w:r w:rsidRPr="0017412A">
        <w:rPr>
          <w:rFonts w:ascii="Book Antiqua" w:hAnsi="Book Antiqua"/>
          <w:bCs/>
          <w:sz w:val="24"/>
          <w:u w:val="single"/>
        </w:rPr>
        <w:t>Guidelines</w:t>
      </w:r>
    </w:p>
    <w:p w14:paraId="605B98A1" w14:textId="77777777" w:rsidR="0017412A" w:rsidRPr="0017412A" w:rsidRDefault="0017412A" w:rsidP="0017412A">
      <w:pPr>
        <w:ind w:firstLine="360"/>
        <w:rPr>
          <w:rFonts w:ascii="Book Antiqua" w:hAnsi="Book Antiqua"/>
          <w:sz w:val="16"/>
          <w:szCs w:val="16"/>
          <w:u w:val="single"/>
        </w:rPr>
      </w:pPr>
    </w:p>
    <w:p w14:paraId="0A278450" w14:textId="13815EDF" w:rsidR="0037617D" w:rsidRDefault="0037617D">
      <w:pPr>
        <w:numPr>
          <w:ilvl w:val="0"/>
          <w:numId w:val="1"/>
        </w:numPr>
        <w:rPr>
          <w:rFonts w:ascii="Book Antiqua" w:hAnsi="Book Antiqua"/>
          <w:sz w:val="24"/>
        </w:rPr>
      </w:pPr>
      <w:r w:rsidRPr="00B03A80">
        <w:rPr>
          <w:rFonts w:ascii="Book Antiqua" w:hAnsi="Book Antiqua"/>
          <w:sz w:val="24"/>
        </w:rPr>
        <w:t>Roane General Hospital will accept an application for financial assistance from any person at any time.</w:t>
      </w:r>
    </w:p>
    <w:p w14:paraId="65215711" w14:textId="77777777" w:rsidR="0047016F" w:rsidRDefault="0047016F" w:rsidP="0047016F">
      <w:pPr>
        <w:ind w:left="720"/>
        <w:rPr>
          <w:rFonts w:ascii="Book Antiqua" w:hAnsi="Book Antiqua"/>
          <w:sz w:val="24"/>
        </w:rPr>
      </w:pPr>
    </w:p>
    <w:p w14:paraId="57CBAABC" w14:textId="77777777" w:rsidR="008711D4" w:rsidRDefault="0047016F" w:rsidP="008711D4">
      <w:pPr>
        <w:numPr>
          <w:ilvl w:val="1"/>
          <w:numId w:val="1"/>
        </w:numPr>
        <w:rPr>
          <w:rFonts w:ascii="Book Antiqua" w:hAnsi="Book Antiqua"/>
          <w:sz w:val="24"/>
        </w:rPr>
      </w:pPr>
      <w:r>
        <w:rPr>
          <w:rFonts w:ascii="Book Antiqua" w:hAnsi="Book Antiqua"/>
          <w:sz w:val="24"/>
        </w:rPr>
        <w:t xml:space="preserve">Patients may </w:t>
      </w:r>
      <w:r w:rsidR="008711D4">
        <w:rPr>
          <w:rFonts w:ascii="Book Antiqua" w:hAnsi="Book Antiqua"/>
          <w:sz w:val="24"/>
        </w:rPr>
        <w:t xml:space="preserve">apply, </w:t>
      </w:r>
      <w:r>
        <w:rPr>
          <w:rFonts w:ascii="Book Antiqua" w:hAnsi="Book Antiqua"/>
          <w:sz w:val="24"/>
        </w:rPr>
        <w:t xml:space="preserve">request </w:t>
      </w:r>
      <w:r w:rsidR="008711D4">
        <w:rPr>
          <w:rFonts w:ascii="Book Antiqua" w:hAnsi="Book Antiqua"/>
          <w:sz w:val="24"/>
        </w:rPr>
        <w:t>or obtain assistance completing a Financial Assistance application in any of the following manners.</w:t>
      </w:r>
    </w:p>
    <w:p w14:paraId="5B367ACD" w14:textId="042D950B" w:rsidR="0047016F" w:rsidRPr="008711D4" w:rsidRDefault="0047016F" w:rsidP="0047016F">
      <w:pPr>
        <w:numPr>
          <w:ilvl w:val="2"/>
          <w:numId w:val="1"/>
        </w:numPr>
        <w:rPr>
          <w:rFonts w:ascii="Book Antiqua" w:hAnsi="Book Antiqua"/>
          <w:sz w:val="24"/>
        </w:rPr>
      </w:pPr>
      <w:r w:rsidRPr="008711D4">
        <w:rPr>
          <w:rFonts w:ascii="Book Antiqua" w:hAnsi="Book Antiqua"/>
          <w:sz w:val="24"/>
        </w:rPr>
        <w:t>Calling 304-927-6883 to speak to the Financial Counselor</w:t>
      </w:r>
    </w:p>
    <w:p w14:paraId="07D1CC82" w14:textId="3CCFF70C" w:rsidR="0047016F" w:rsidRDefault="0047016F" w:rsidP="0047016F">
      <w:pPr>
        <w:numPr>
          <w:ilvl w:val="3"/>
          <w:numId w:val="1"/>
        </w:numPr>
        <w:rPr>
          <w:rFonts w:ascii="Book Antiqua" w:hAnsi="Book Antiqua"/>
          <w:sz w:val="24"/>
        </w:rPr>
      </w:pPr>
      <w:r>
        <w:rPr>
          <w:rFonts w:ascii="Book Antiqua" w:hAnsi="Book Antiqua"/>
          <w:sz w:val="24"/>
        </w:rPr>
        <w:t>Located at Roane General Hospital</w:t>
      </w:r>
    </w:p>
    <w:p w14:paraId="11455836" w14:textId="04B7632C" w:rsidR="0047016F" w:rsidRDefault="0047016F" w:rsidP="0047016F">
      <w:pPr>
        <w:numPr>
          <w:ilvl w:val="3"/>
          <w:numId w:val="1"/>
        </w:numPr>
        <w:rPr>
          <w:rFonts w:ascii="Book Antiqua" w:hAnsi="Book Antiqua"/>
          <w:sz w:val="24"/>
        </w:rPr>
      </w:pPr>
      <w:r>
        <w:rPr>
          <w:rFonts w:ascii="Book Antiqua" w:hAnsi="Book Antiqua"/>
          <w:sz w:val="24"/>
        </w:rPr>
        <w:t>Patient Access Department</w:t>
      </w:r>
    </w:p>
    <w:p w14:paraId="153A3977" w14:textId="038AD195" w:rsidR="0047016F" w:rsidRDefault="0047016F" w:rsidP="0047016F">
      <w:pPr>
        <w:numPr>
          <w:ilvl w:val="2"/>
          <w:numId w:val="1"/>
        </w:numPr>
        <w:rPr>
          <w:rFonts w:ascii="Book Antiqua" w:hAnsi="Book Antiqua"/>
          <w:sz w:val="24"/>
        </w:rPr>
      </w:pPr>
      <w:r>
        <w:rPr>
          <w:rFonts w:ascii="Book Antiqua" w:hAnsi="Book Antiqua"/>
          <w:sz w:val="24"/>
        </w:rPr>
        <w:t>Contacting Patient Access Department at 304-927-4444</w:t>
      </w:r>
    </w:p>
    <w:p w14:paraId="23363AEE" w14:textId="77777777" w:rsidR="0047016F" w:rsidRDefault="0047016F" w:rsidP="0047016F">
      <w:pPr>
        <w:numPr>
          <w:ilvl w:val="2"/>
          <w:numId w:val="1"/>
        </w:numPr>
        <w:rPr>
          <w:rFonts w:ascii="Book Antiqua" w:hAnsi="Book Antiqua"/>
          <w:sz w:val="24"/>
        </w:rPr>
      </w:pPr>
      <w:r>
        <w:rPr>
          <w:rFonts w:ascii="Book Antiqua" w:hAnsi="Book Antiqua"/>
          <w:sz w:val="24"/>
        </w:rPr>
        <w:t xml:space="preserve">Request by mail:  </w:t>
      </w:r>
    </w:p>
    <w:p w14:paraId="7807B801" w14:textId="77777777" w:rsidR="0047016F" w:rsidRDefault="0047016F" w:rsidP="0047016F">
      <w:pPr>
        <w:numPr>
          <w:ilvl w:val="3"/>
          <w:numId w:val="1"/>
        </w:numPr>
        <w:rPr>
          <w:rFonts w:ascii="Book Antiqua" w:hAnsi="Book Antiqua"/>
          <w:sz w:val="24"/>
        </w:rPr>
      </w:pPr>
      <w:r>
        <w:rPr>
          <w:rFonts w:ascii="Book Antiqua" w:hAnsi="Book Antiqua"/>
          <w:sz w:val="24"/>
        </w:rPr>
        <w:t>Roane General Hospital</w:t>
      </w:r>
    </w:p>
    <w:p w14:paraId="1F5C8F2E" w14:textId="77777777" w:rsidR="0047016F" w:rsidRDefault="0047016F" w:rsidP="0047016F">
      <w:pPr>
        <w:ind w:left="2880"/>
        <w:rPr>
          <w:rFonts w:ascii="Book Antiqua" w:hAnsi="Book Antiqua"/>
          <w:sz w:val="24"/>
        </w:rPr>
      </w:pPr>
      <w:r>
        <w:rPr>
          <w:rFonts w:ascii="Book Antiqua" w:hAnsi="Book Antiqua"/>
          <w:sz w:val="24"/>
        </w:rPr>
        <w:t>Attn: Financial Counselor</w:t>
      </w:r>
    </w:p>
    <w:p w14:paraId="77666784" w14:textId="6AFD4AED" w:rsidR="0047016F" w:rsidRDefault="0047016F" w:rsidP="0047016F">
      <w:pPr>
        <w:ind w:left="2880"/>
        <w:rPr>
          <w:rFonts w:ascii="Book Antiqua" w:hAnsi="Book Antiqua"/>
          <w:sz w:val="24"/>
        </w:rPr>
      </w:pPr>
      <w:r>
        <w:rPr>
          <w:rFonts w:ascii="Book Antiqua" w:hAnsi="Book Antiqua"/>
          <w:sz w:val="24"/>
        </w:rPr>
        <w:t>200 Hospital Dr, Spencer, WV  25276</w:t>
      </w:r>
    </w:p>
    <w:p w14:paraId="578D5ADE" w14:textId="3CED96E0" w:rsidR="0047016F" w:rsidRDefault="0047016F" w:rsidP="0047016F">
      <w:pPr>
        <w:numPr>
          <w:ilvl w:val="2"/>
          <w:numId w:val="1"/>
        </w:numPr>
        <w:rPr>
          <w:rFonts w:ascii="Book Antiqua" w:hAnsi="Book Antiqua"/>
          <w:sz w:val="24"/>
        </w:rPr>
      </w:pPr>
      <w:r>
        <w:rPr>
          <w:rFonts w:ascii="Book Antiqua" w:hAnsi="Book Antiqua"/>
          <w:sz w:val="24"/>
        </w:rPr>
        <w:t xml:space="preserve">Website (download an application) </w:t>
      </w:r>
    </w:p>
    <w:p w14:paraId="003327C4" w14:textId="17FE57F7" w:rsidR="0047016F" w:rsidRDefault="00C00031" w:rsidP="0047016F">
      <w:pPr>
        <w:ind w:left="1440" w:firstLine="720"/>
        <w:rPr>
          <w:rFonts w:ascii="Book Antiqua" w:hAnsi="Book Antiqua"/>
          <w:sz w:val="24"/>
        </w:rPr>
      </w:pPr>
      <w:hyperlink r:id="rId8" w:history="1">
        <w:r w:rsidR="0047016F" w:rsidRPr="00F268EC">
          <w:rPr>
            <w:rStyle w:val="Hyperlink"/>
            <w:rFonts w:ascii="Book Antiqua" w:hAnsi="Book Antiqua"/>
            <w:sz w:val="24"/>
          </w:rPr>
          <w:t>https://www.roanegeneralhospital.com/patient-resources</w:t>
        </w:r>
      </w:hyperlink>
    </w:p>
    <w:p w14:paraId="290BB6D3" w14:textId="77777777" w:rsidR="00631291" w:rsidRDefault="00631291" w:rsidP="00631291">
      <w:pPr>
        <w:rPr>
          <w:rFonts w:ascii="Book Antiqua" w:hAnsi="Book Antiqua"/>
          <w:sz w:val="24"/>
        </w:rPr>
      </w:pPr>
    </w:p>
    <w:p w14:paraId="41717440" w14:textId="77777777" w:rsidR="00631291" w:rsidRDefault="00631291" w:rsidP="00631291">
      <w:pPr>
        <w:numPr>
          <w:ilvl w:val="0"/>
          <w:numId w:val="1"/>
        </w:numPr>
        <w:rPr>
          <w:rFonts w:ascii="Book Antiqua" w:hAnsi="Book Antiqua"/>
          <w:sz w:val="24"/>
        </w:rPr>
      </w:pPr>
      <w:r>
        <w:rPr>
          <w:rFonts w:ascii="Book Antiqua" w:hAnsi="Book Antiqua"/>
          <w:sz w:val="24"/>
        </w:rPr>
        <w:t>Roane General Hospital will accept Roane County Family Health Care, Inc. “Reduced Fee Card</w:t>
      </w:r>
      <w:r w:rsidR="005F0B34">
        <w:rPr>
          <w:rFonts w:ascii="Book Antiqua" w:hAnsi="Book Antiqua"/>
          <w:sz w:val="24"/>
        </w:rPr>
        <w:t xml:space="preserve">” </w:t>
      </w:r>
      <w:r>
        <w:rPr>
          <w:rFonts w:ascii="Book Antiqua" w:hAnsi="Book Antiqua"/>
          <w:sz w:val="24"/>
        </w:rPr>
        <w:t>for unin</w:t>
      </w:r>
      <w:r w:rsidR="005F0B34">
        <w:rPr>
          <w:rFonts w:ascii="Book Antiqua" w:hAnsi="Book Antiqua"/>
          <w:sz w:val="24"/>
        </w:rPr>
        <w:t>sured or “Self-Pay” customers.</w:t>
      </w:r>
    </w:p>
    <w:p w14:paraId="38858C8C" w14:textId="77777777" w:rsidR="005F0B34" w:rsidRDefault="005F0B34" w:rsidP="005F0B34">
      <w:pPr>
        <w:pStyle w:val="ListParagraph"/>
        <w:rPr>
          <w:rFonts w:ascii="Book Antiqua" w:hAnsi="Book Antiqua"/>
          <w:sz w:val="24"/>
        </w:rPr>
      </w:pPr>
    </w:p>
    <w:p w14:paraId="766DB3C4" w14:textId="77777777" w:rsidR="005F0B34" w:rsidRPr="00631291" w:rsidRDefault="005F0B34" w:rsidP="005F0B34">
      <w:pPr>
        <w:numPr>
          <w:ilvl w:val="1"/>
          <w:numId w:val="1"/>
        </w:numPr>
        <w:rPr>
          <w:rFonts w:ascii="Book Antiqua" w:hAnsi="Book Antiqua"/>
          <w:sz w:val="24"/>
        </w:rPr>
      </w:pPr>
      <w:r>
        <w:rPr>
          <w:rFonts w:ascii="Book Antiqua" w:hAnsi="Book Antiqua"/>
          <w:sz w:val="24"/>
        </w:rPr>
        <w:t>RCFHC poverty guidelines mirror those of RGH; therefore, eliminating the need to complete a RGH Financial Assistance Application.</w:t>
      </w:r>
    </w:p>
    <w:p w14:paraId="69966F65" w14:textId="77777777" w:rsidR="0037617D" w:rsidRDefault="0037617D">
      <w:pPr>
        <w:rPr>
          <w:rFonts w:ascii="Book Antiqua" w:hAnsi="Book Antiqua"/>
          <w:sz w:val="24"/>
        </w:rPr>
      </w:pPr>
    </w:p>
    <w:p w14:paraId="4B3C6602" w14:textId="06D189D3" w:rsidR="0037617D" w:rsidRDefault="0037617D">
      <w:pPr>
        <w:numPr>
          <w:ilvl w:val="0"/>
          <w:numId w:val="1"/>
        </w:numPr>
        <w:rPr>
          <w:rFonts w:ascii="Book Antiqua" w:hAnsi="Book Antiqua"/>
          <w:sz w:val="24"/>
        </w:rPr>
      </w:pPr>
      <w:r>
        <w:rPr>
          <w:rFonts w:ascii="Book Antiqua" w:hAnsi="Book Antiqua"/>
          <w:sz w:val="24"/>
        </w:rPr>
        <w:t>All</w:t>
      </w:r>
      <w:r w:rsidR="009546C6">
        <w:rPr>
          <w:rFonts w:ascii="Book Antiqua" w:hAnsi="Book Antiqua"/>
          <w:sz w:val="24"/>
        </w:rPr>
        <w:t xml:space="preserve"> medically necessary</w:t>
      </w:r>
      <w:r>
        <w:rPr>
          <w:rFonts w:ascii="Book Antiqua" w:hAnsi="Book Antiqua"/>
          <w:sz w:val="24"/>
        </w:rPr>
        <w:t xml:space="preserve"> inpatient</w:t>
      </w:r>
      <w:r w:rsidR="00C705FC">
        <w:rPr>
          <w:rFonts w:ascii="Book Antiqua" w:hAnsi="Book Antiqua"/>
          <w:sz w:val="24"/>
        </w:rPr>
        <w:t>,</w:t>
      </w:r>
      <w:r>
        <w:rPr>
          <w:rFonts w:ascii="Book Antiqua" w:hAnsi="Book Antiqua"/>
          <w:sz w:val="24"/>
        </w:rPr>
        <w:t xml:space="preserve"> outpatient</w:t>
      </w:r>
      <w:r w:rsidR="00C705FC">
        <w:rPr>
          <w:rFonts w:ascii="Book Antiqua" w:hAnsi="Book Antiqua"/>
          <w:sz w:val="24"/>
        </w:rPr>
        <w:t>, emergency room and professional services</w:t>
      </w:r>
      <w:r>
        <w:rPr>
          <w:rFonts w:ascii="Book Antiqua" w:hAnsi="Book Antiqua"/>
          <w:sz w:val="24"/>
        </w:rPr>
        <w:t xml:space="preserve"> </w:t>
      </w:r>
      <w:r w:rsidR="0014691E">
        <w:rPr>
          <w:rFonts w:ascii="Book Antiqua" w:hAnsi="Book Antiqua"/>
          <w:sz w:val="24"/>
        </w:rPr>
        <w:t xml:space="preserve">provided by </w:t>
      </w:r>
      <w:r w:rsidR="008711D4">
        <w:rPr>
          <w:rFonts w:ascii="Book Antiqua" w:hAnsi="Book Antiqua"/>
          <w:sz w:val="24"/>
        </w:rPr>
        <w:t>Roane General Hospital “</w:t>
      </w:r>
      <w:r w:rsidR="0014691E">
        <w:rPr>
          <w:rFonts w:ascii="Book Antiqua" w:hAnsi="Book Antiqua"/>
          <w:sz w:val="24"/>
        </w:rPr>
        <w:t>staff</w:t>
      </w:r>
      <w:r w:rsidR="008711D4">
        <w:rPr>
          <w:rFonts w:ascii="Book Antiqua" w:hAnsi="Book Antiqua"/>
          <w:sz w:val="24"/>
        </w:rPr>
        <w:t>”</w:t>
      </w:r>
      <w:r w:rsidR="0014691E">
        <w:rPr>
          <w:rFonts w:ascii="Book Antiqua" w:hAnsi="Book Antiqua"/>
          <w:sz w:val="24"/>
        </w:rPr>
        <w:t xml:space="preserve"> </w:t>
      </w:r>
      <w:r w:rsidR="00A56561">
        <w:rPr>
          <w:rFonts w:ascii="Book Antiqua" w:hAnsi="Book Antiqua"/>
          <w:sz w:val="24"/>
        </w:rPr>
        <w:t>p</w:t>
      </w:r>
      <w:r w:rsidR="0014691E">
        <w:rPr>
          <w:rFonts w:ascii="Book Antiqua" w:hAnsi="Book Antiqua"/>
          <w:sz w:val="24"/>
        </w:rPr>
        <w:t>roviders are</w:t>
      </w:r>
      <w:r>
        <w:rPr>
          <w:rFonts w:ascii="Book Antiqua" w:hAnsi="Book Antiqua"/>
          <w:sz w:val="24"/>
        </w:rPr>
        <w:t xml:space="preserve"> eligible for financial assistance</w:t>
      </w:r>
      <w:r w:rsidR="00B82060">
        <w:rPr>
          <w:rFonts w:ascii="Book Antiqua" w:hAnsi="Book Antiqua"/>
          <w:sz w:val="24"/>
        </w:rPr>
        <w:t xml:space="preserve"> </w:t>
      </w:r>
      <w:r w:rsidR="00B82060" w:rsidRPr="009546C6">
        <w:rPr>
          <w:rFonts w:ascii="Book Antiqua" w:hAnsi="Book Antiqua"/>
          <w:sz w:val="24"/>
        </w:rPr>
        <w:t>unless specifically noted otherwise within this policy</w:t>
      </w:r>
      <w:r>
        <w:rPr>
          <w:rFonts w:ascii="Book Antiqua" w:hAnsi="Book Antiqua"/>
          <w:sz w:val="24"/>
        </w:rPr>
        <w:t xml:space="preserve">. </w:t>
      </w:r>
    </w:p>
    <w:p w14:paraId="2FA11542" w14:textId="77777777" w:rsidR="004D18FC" w:rsidRDefault="004D18FC" w:rsidP="004D18FC">
      <w:pPr>
        <w:ind w:left="720"/>
        <w:rPr>
          <w:rFonts w:ascii="Book Antiqua" w:hAnsi="Book Antiqua"/>
          <w:sz w:val="24"/>
        </w:rPr>
      </w:pPr>
    </w:p>
    <w:p w14:paraId="41A658CE" w14:textId="77777777" w:rsidR="004D18FC" w:rsidRPr="0017412A" w:rsidRDefault="004D18FC" w:rsidP="004D18FC">
      <w:pPr>
        <w:ind w:left="360"/>
        <w:rPr>
          <w:rFonts w:ascii="Book Antiqua" w:hAnsi="Book Antiqua"/>
          <w:sz w:val="24"/>
          <w:u w:val="single"/>
        </w:rPr>
      </w:pPr>
      <w:r w:rsidRPr="0017412A">
        <w:rPr>
          <w:rFonts w:ascii="Book Antiqua" w:hAnsi="Book Antiqua"/>
          <w:sz w:val="24"/>
          <w:u w:val="single"/>
        </w:rPr>
        <w:t>Excluded Services</w:t>
      </w:r>
    </w:p>
    <w:p w14:paraId="035A57FF" w14:textId="77777777" w:rsidR="004D18FC" w:rsidRDefault="004D18FC" w:rsidP="004D18FC">
      <w:pPr>
        <w:ind w:left="720"/>
        <w:rPr>
          <w:rFonts w:ascii="Book Antiqua" w:hAnsi="Book Antiqua"/>
          <w:sz w:val="24"/>
        </w:rPr>
      </w:pPr>
    </w:p>
    <w:p w14:paraId="5F9B6775" w14:textId="52F37C07" w:rsidR="006A79F3" w:rsidRPr="00670492" w:rsidRDefault="004D18FC" w:rsidP="0017412A">
      <w:pPr>
        <w:numPr>
          <w:ilvl w:val="0"/>
          <w:numId w:val="1"/>
        </w:numPr>
        <w:rPr>
          <w:rFonts w:ascii="Book Antiqua" w:hAnsi="Book Antiqua"/>
          <w:sz w:val="24"/>
        </w:rPr>
      </w:pPr>
      <w:r w:rsidRPr="00670492">
        <w:rPr>
          <w:rFonts w:ascii="Book Antiqua" w:hAnsi="Book Antiqua"/>
          <w:sz w:val="24"/>
        </w:rPr>
        <w:t>Certain medical procedures are excluded; examples of exclusions include cosmetic surgery, bariatric surgery, sterilization reversal, and other procedures not deemed medically necessary</w:t>
      </w:r>
      <w:r w:rsidR="00670492">
        <w:rPr>
          <w:rFonts w:ascii="Book Antiqua" w:hAnsi="Book Antiqua"/>
          <w:sz w:val="24"/>
        </w:rPr>
        <w:t>.  Additionally,</w:t>
      </w:r>
    </w:p>
    <w:p w14:paraId="67223F47" w14:textId="77777777" w:rsidR="00815D3A" w:rsidRDefault="00815D3A" w:rsidP="00815D3A">
      <w:pPr>
        <w:pStyle w:val="ListParagraph"/>
        <w:rPr>
          <w:rFonts w:ascii="Book Antiqua" w:hAnsi="Book Antiqua"/>
          <w:sz w:val="24"/>
        </w:rPr>
      </w:pPr>
    </w:p>
    <w:p w14:paraId="27E27DDB" w14:textId="77777777" w:rsidR="00815D3A" w:rsidRDefault="00815D3A" w:rsidP="00815D3A">
      <w:pPr>
        <w:numPr>
          <w:ilvl w:val="1"/>
          <w:numId w:val="1"/>
        </w:numPr>
        <w:rPr>
          <w:rFonts w:ascii="Book Antiqua" w:hAnsi="Book Antiqua"/>
          <w:sz w:val="24"/>
        </w:rPr>
      </w:pPr>
      <w:r>
        <w:rPr>
          <w:rFonts w:ascii="Book Antiqua" w:hAnsi="Book Antiqua"/>
          <w:sz w:val="24"/>
        </w:rPr>
        <w:t>Skilled, Intermediate and Swing admissions are not eligible for financial assistance.</w:t>
      </w:r>
    </w:p>
    <w:p w14:paraId="05CBC659" w14:textId="208F612C" w:rsidR="00A56561" w:rsidRPr="00ED36C5" w:rsidRDefault="00B82060" w:rsidP="00ED36C5">
      <w:pPr>
        <w:numPr>
          <w:ilvl w:val="1"/>
          <w:numId w:val="1"/>
        </w:numPr>
        <w:rPr>
          <w:rFonts w:ascii="Book Antiqua" w:hAnsi="Book Antiqua"/>
          <w:sz w:val="24"/>
        </w:rPr>
      </w:pPr>
      <w:r w:rsidRPr="009546C6">
        <w:rPr>
          <w:rFonts w:ascii="Book Antiqua" w:hAnsi="Book Antiqua"/>
          <w:sz w:val="24"/>
        </w:rPr>
        <w:t xml:space="preserve">Permanent Spinal Cord Stimulators are not eligible for FA. All patients scheduled to receive a spinal cord stimulator implant </w:t>
      </w:r>
      <w:r w:rsidR="00D64B02" w:rsidRPr="009546C6">
        <w:rPr>
          <w:rFonts w:ascii="Book Antiqua" w:hAnsi="Book Antiqua"/>
          <w:sz w:val="24"/>
        </w:rPr>
        <w:t>will be contacted by</w:t>
      </w:r>
      <w:r w:rsidRPr="009546C6">
        <w:rPr>
          <w:rFonts w:ascii="Book Antiqua" w:hAnsi="Book Antiqua"/>
          <w:sz w:val="24"/>
        </w:rPr>
        <w:t xml:space="preserve"> the financial counselor prior to the procedure, and a down payment will be requ</w:t>
      </w:r>
      <w:r w:rsidR="00D64B02" w:rsidRPr="009546C6">
        <w:rPr>
          <w:rFonts w:ascii="Book Antiqua" w:hAnsi="Book Antiqua"/>
          <w:sz w:val="24"/>
        </w:rPr>
        <w:t>ired prior to procedure unless n</w:t>
      </w:r>
      <w:r w:rsidRPr="009546C6">
        <w:rPr>
          <w:rFonts w:ascii="Book Antiqua" w:hAnsi="Book Antiqua"/>
          <w:sz w:val="24"/>
        </w:rPr>
        <w:t xml:space="preserve">o </w:t>
      </w:r>
      <w:r w:rsidR="009546C6" w:rsidRPr="009546C6">
        <w:rPr>
          <w:rFonts w:ascii="Book Antiqua" w:hAnsi="Book Antiqua"/>
          <w:sz w:val="24"/>
        </w:rPr>
        <w:t xml:space="preserve">deductible, </w:t>
      </w:r>
      <w:r w:rsidRPr="009546C6">
        <w:rPr>
          <w:rFonts w:ascii="Book Antiqua" w:hAnsi="Book Antiqua"/>
          <w:sz w:val="24"/>
        </w:rPr>
        <w:t xml:space="preserve">coinsurance </w:t>
      </w:r>
      <w:r w:rsidR="009546C6" w:rsidRPr="009546C6">
        <w:rPr>
          <w:rFonts w:ascii="Book Antiqua" w:hAnsi="Book Antiqua"/>
          <w:sz w:val="24"/>
        </w:rPr>
        <w:t xml:space="preserve">or copayment </w:t>
      </w:r>
      <w:r w:rsidRPr="009546C6">
        <w:rPr>
          <w:rFonts w:ascii="Book Antiqua" w:hAnsi="Book Antiqua"/>
          <w:sz w:val="24"/>
        </w:rPr>
        <w:t xml:space="preserve">is anticipated. </w:t>
      </w:r>
    </w:p>
    <w:p w14:paraId="67EA60ED" w14:textId="7405B23D" w:rsidR="00670492" w:rsidRPr="00ED36C5" w:rsidRDefault="00670492" w:rsidP="00A56561">
      <w:pPr>
        <w:numPr>
          <w:ilvl w:val="1"/>
          <w:numId w:val="1"/>
        </w:numPr>
        <w:rPr>
          <w:rFonts w:ascii="Book Antiqua" w:hAnsi="Book Antiqua"/>
          <w:sz w:val="24"/>
        </w:rPr>
      </w:pPr>
      <w:r w:rsidRPr="00ED36C5">
        <w:rPr>
          <w:rFonts w:ascii="Book Antiqua" w:hAnsi="Book Antiqua"/>
          <w:sz w:val="24"/>
        </w:rPr>
        <w:t>Knee replacement</w:t>
      </w:r>
    </w:p>
    <w:p w14:paraId="0A0D576E" w14:textId="77777777" w:rsidR="0037617D" w:rsidRDefault="0037617D">
      <w:pPr>
        <w:rPr>
          <w:rFonts w:ascii="Book Antiqua" w:hAnsi="Book Antiqua"/>
          <w:sz w:val="24"/>
        </w:rPr>
      </w:pPr>
    </w:p>
    <w:p w14:paraId="3CDFDDD8" w14:textId="2CC2BCFB" w:rsidR="0037617D" w:rsidRPr="002B79CF" w:rsidRDefault="00B03A80" w:rsidP="002B79CF">
      <w:pPr>
        <w:numPr>
          <w:ilvl w:val="0"/>
          <w:numId w:val="1"/>
        </w:numPr>
        <w:rPr>
          <w:rFonts w:ascii="Book Antiqua" w:hAnsi="Book Antiqua"/>
          <w:sz w:val="24"/>
        </w:rPr>
      </w:pPr>
      <w:r>
        <w:rPr>
          <w:rFonts w:ascii="Book Antiqua" w:hAnsi="Book Antiqua"/>
          <w:sz w:val="24"/>
        </w:rPr>
        <w:t xml:space="preserve">A completed application, with signature, </w:t>
      </w:r>
      <w:r w:rsidR="006558A4">
        <w:rPr>
          <w:rFonts w:ascii="Book Antiqua" w:hAnsi="Book Antiqua"/>
          <w:sz w:val="24"/>
        </w:rPr>
        <w:t>must be returned by the patient</w:t>
      </w:r>
      <w:r w:rsidR="00A56561">
        <w:rPr>
          <w:rFonts w:ascii="Book Antiqua" w:hAnsi="Book Antiqua"/>
          <w:sz w:val="24"/>
        </w:rPr>
        <w:t xml:space="preserve"> or guarantor</w:t>
      </w:r>
      <w:r w:rsidR="006558A4">
        <w:rPr>
          <w:rFonts w:ascii="Book Antiqua" w:hAnsi="Book Antiqua"/>
          <w:sz w:val="24"/>
        </w:rPr>
        <w:t xml:space="preserve">.  </w:t>
      </w:r>
      <w:r w:rsidR="002B79CF">
        <w:rPr>
          <w:rFonts w:ascii="Book Antiqua" w:hAnsi="Book Antiqua"/>
          <w:sz w:val="24"/>
        </w:rPr>
        <w:t>An</w:t>
      </w:r>
      <w:r w:rsidR="0037617D" w:rsidRPr="002B79CF">
        <w:rPr>
          <w:rFonts w:ascii="Book Antiqua" w:hAnsi="Book Antiqua"/>
          <w:sz w:val="24"/>
        </w:rPr>
        <w:t>y person found to be providing fraudulent information will have the application denied.</w:t>
      </w:r>
    </w:p>
    <w:p w14:paraId="734E7ADC" w14:textId="77777777" w:rsidR="0037617D" w:rsidRDefault="0037617D">
      <w:pPr>
        <w:rPr>
          <w:rFonts w:ascii="Book Antiqua" w:hAnsi="Book Antiqua"/>
          <w:sz w:val="24"/>
        </w:rPr>
      </w:pPr>
    </w:p>
    <w:p w14:paraId="24CC507F" w14:textId="77777777" w:rsidR="002B79CF" w:rsidRDefault="002B79CF">
      <w:pPr>
        <w:numPr>
          <w:ilvl w:val="0"/>
          <w:numId w:val="1"/>
        </w:numPr>
        <w:rPr>
          <w:rFonts w:ascii="Book Antiqua" w:hAnsi="Book Antiqua"/>
          <w:sz w:val="24"/>
        </w:rPr>
      </w:pPr>
      <w:r>
        <w:rPr>
          <w:rFonts w:ascii="Book Antiqua" w:hAnsi="Book Antiqua"/>
          <w:sz w:val="24"/>
        </w:rPr>
        <w:t>RGH will require qualifying patients to apply for Medicaid and submit a denial letter except for patients receiving Medicare and those whom do not live in the state of West Virginia.</w:t>
      </w:r>
    </w:p>
    <w:p w14:paraId="4D38D44E" w14:textId="77777777" w:rsidR="002B79CF" w:rsidRDefault="002B79CF" w:rsidP="002B79CF">
      <w:pPr>
        <w:pStyle w:val="ListParagraph"/>
        <w:rPr>
          <w:rFonts w:ascii="Book Antiqua" w:hAnsi="Book Antiqua"/>
          <w:sz w:val="24"/>
        </w:rPr>
      </w:pPr>
    </w:p>
    <w:p w14:paraId="183588B5" w14:textId="77777777" w:rsidR="0037617D" w:rsidRPr="0093468F" w:rsidRDefault="002B79CF" w:rsidP="00730B22">
      <w:pPr>
        <w:numPr>
          <w:ilvl w:val="0"/>
          <w:numId w:val="2"/>
        </w:numPr>
        <w:rPr>
          <w:rFonts w:ascii="Book Antiqua" w:hAnsi="Book Antiqua"/>
          <w:sz w:val="24"/>
        </w:rPr>
      </w:pPr>
      <w:r w:rsidRPr="0093468F">
        <w:rPr>
          <w:rFonts w:ascii="Book Antiqua" w:hAnsi="Book Antiqua"/>
          <w:sz w:val="24"/>
        </w:rPr>
        <w:t xml:space="preserve">FA is based on income levels and liquid assets at the time of the initial application.  </w:t>
      </w:r>
      <w:r w:rsidR="00730B22" w:rsidRPr="0093468F">
        <w:rPr>
          <w:rFonts w:ascii="Book Antiqua" w:hAnsi="Book Antiqua"/>
          <w:sz w:val="24"/>
        </w:rPr>
        <w:t>P</w:t>
      </w:r>
      <w:r w:rsidR="0037617D" w:rsidRPr="0093468F">
        <w:rPr>
          <w:rFonts w:ascii="Book Antiqua" w:hAnsi="Book Antiqua"/>
          <w:sz w:val="24"/>
        </w:rPr>
        <w:t xml:space="preserve">roof of financial status </w:t>
      </w:r>
      <w:r w:rsidR="00730B22" w:rsidRPr="0093468F">
        <w:rPr>
          <w:rFonts w:ascii="Book Antiqua" w:hAnsi="Book Antiqua"/>
          <w:sz w:val="24"/>
        </w:rPr>
        <w:t>and liquid assets are</w:t>
      </w:r>
      <w:r w:rsidR="0037617D" w:rsidRPr="0093468F">
        <w:rPr>
          <w:rFonts w:ascii="Book Antiqua" w:hAnsi="Book Antiqua"/>
          <w:sz w:val="24"/>
        </w:rPr>
        <w:t xml:space="preserve"> required before a patient can be qualified for financial assistance.</w:t>
      </w:r>
    </w:p>
    <w:p w14:paraId="58CA4F76" w14:textId="77777777" w:rsidR="0037617D" w:rsidRDefault="0037617D">
      <w:pPr>
        <w:rPr>
          <w:rFonts w:ascii="Book Antiqua" w:hAnsi="Book Antiqua"/>
          <w:sz w:val="24"/>
        </w:rPr>
      </w:pPr>
    </w:p>
    <w:p w14:paraId="64573530" w14:textId="77777777" w:rsidR="0037617D" w:rsidRDefault="0037617D">
      <w:pPr>
        <w:numPr>
          <w:ilvl w:val="1"/>
          <w:numId w:val="1"/>
        </w:numPr>
        <w:rPr>
          <w:rFonts w:ascii="Book Antiqua" w:hAnsi="Book Antiqua"/>
          <w:sz w:val="24"/>
        </w:rPr>
      </w:pPr>
      <w:r>
        <w:rPr>
          <w:rFonts w:ascii="Book Antiqua" w:hAnsi="Book Antiqua"/>
          <w:sz w:val="24"/>
        </w:rPr>
        <w:t>If the patient is older than eighteen years old</w:t>
      </w:r>
    </w:p>
    <w:p w14:paraId="00A04BAE" w14:textId="77777777" w:rsidR="0037617D" w:rsidRDefault="0037617D">
      <w:pPr>
        <w:numPr>
          <w:ilvl w:val="1"/>
          <w:numId w:val="1"/>
        </w:numPr>
        <w:rPr>
          <w:rFonts w:ascii="Book Antiqua" w:hAnsi="Book Antiqua"/>
          <w:sz w:val="24"/>
        </w:rPr>
      </w:pPr>
      <w:r>
        <w:rPr>
          <w:rFonts w:ascii="Book Antiqua" w:hAnsi="Book Antiqua"/>
          <w:sz w:val="24"/>
        </w:rPr>
        <w:t>If the patient is married or there are two parents in the household, documents showing both incomes must be provided.</w:t>
      </w:r>
    </w:p>
    <w:p w14:paraId="20841280" w14:textId="77777777" w:rsidR="006558A4" w:rsidRDefault="006558A4" w:rsidP="006558A4">
      <w:pPr>
        <w:ind w:left="1440"/>
        <w:rPr>
          <w:rFonts w:ascii="Book Antiqua" w:hAnsi="Book Antiqua"/>
          <w:sz w:val="24"/>
        </w:rPr>
      </w:pPr>
    </w:p>
    <w:p w14:paraId="650F1DB3" w14:textId="394BC35C" w:rsidR="006558A4" w:rsidRPr="004D18FC" w:rsidRDefault="008A5384" w:rsidP="006558A4">
      <w:pPr>
        <w:numPr>
          <w:ilvl w:val="0"/>
          <w:numId w:val="1"/>
        </w:numPr>
        <w:rPr>
          <w:rFonts w:ascii="Book Antiqua" w:hAnsi="Book Antiqua"/>
          <w:sz w:val="24"/>
        </w:rPr>
      </w:pPr>
      <w:r w:rsidRPr="004D18FC">
        <w:rPr>
          <w:rFonts w:ascii="Book Antiqua" w:hAnsi="Book Antiqua"/>
          <w:sz w:val="24"/>
        </w:rPr>
        <w:t>Certain finan</w:t>
      </w:r>
      <w:r w:rsidR="00C61CEE" w:rsidRPr="004D18FC">
        <w:rPr>
          <w:rFonts w:ascii="Book Antiqua" w:hAnsi="Book Antiqua"/>
          <w:sz w:val="24"/>
        </w:rPr>
        <w:t>c</w:t>
      </w:r>
      <w:r w:rsidRPr="004D18FC">
        <w:rPr>
          <w:rFonts w:ascii="Book Antiqua" w:hAnsi="Book Antiqua"/>
          <w:sz w:val="24"/>
        </w:rPr>
        <w:t>ial situations d</w:t>
      </w:r>
      <w:r w:rsidR="009546C6" w:rsidRPr="004D18FC">
        <w:rPr>
          <w:rFonts w:ascii="Book Antiqua" w:hAnsi="Book Antiqua"/>
          <w:sz w:val="24"/>
        </w:rPr>
        <w:t xml:space="preserve">o not require a FA application.  </w:t>
      </w:r>
    </w:p>
    <w:p w14:paraId="0FF34109" w14:textId="77777777" w:rsidR="008A5384" w:rsidRDefault="008A5384" w:rsidP="0093468F">
      <w:pPr>
        <w:numPr>
          <w:ilvl w:val="0"/>
          <w:numId w:val="1"/>
        </w:numPr>
        <w:rPr>
          <w:rFonts w:ascii="Book Antiqua" w:hAnsi="Book Antiqua"/>
          <w:sz w:val="24"/>
        </w:rPr>
      </w:pPr>
      <w:r>
        <w:rPr>
          <w:rFonts w:ascii="Book Antiqua" w:hAnsi="Book Antiqua"/>
          <w:sz w:val="24"/>
        </w:rPr>
        <w:lastRenderedPageBreak/>
        <w:t>RGH reserves the right to determine the maximum amount of FA benefits granted in a given fiscal year.</w:t>
      </w:r>
    </w:p>
    <w:p w14:paraId="0212A40E" w14:textId="77777777" w:rsidR="0037617D" w:rsidRPr="006A79F3" w:rsidRDefault="0037617D">
      <w:pPr>
        <w:rPr>
          <w:rFonts w:ascii="Book Antiqua" w:hAnsi="Book Antiqua"/>
          <w:sz w:val="24"/>
        </w:rPr>
      </w:pPr>
    </w:p>
    <w:p w14:paraId="5EEF44E2" w14:textId="7BE81355" w:rsidR="0037617D" w:rsidRPr="0017412A" w:rsidRDefault="0037617D" w:rsidP="0017412A">
      <w:pPr>
        <w:ind w:firstLine="360"/>
        <w:rPr>
          <w:rFonts w:ascii="Book Antiqua" w:hAnsi="Book Antiqua"/>
          <w:bCs/>
          <w:sz w:val="24"/>
          <w:u w:val="single"/>
        </w:rPr>
      </w:pPr>
      <w:r w:rsidRPr="0017412A">
        <w:rPr>
          <w:rFonts w:ascii="Book Antiqua" w:hAnsi="Book Antiqua"/>
          <w:bCs/>
          <w:sz w:val="24"/>
          <w:u w:val="single"/>
        </w:rPr>
        <w:t>Procedure</w:t>
      </w:r>
    </w:p>
    <w:p w14:paraId="113A9D0B" w14:textId="77777777" w:rsidR="00184B16" w:rsidRPr="00184B16" w:rsidRDefault="00184B16">
      <w:pPr>
        <w:rPr>
          <w:rFonts w:ascii="Book Antiqua" w:hAnsi="Book Antiqua"/>
          <w:bCs/>
          <w:sz w:val="24"/>
        </w:rPr>
      </w:pPr>
    </w:p>
    <w:p w14:paraId="1C327E60" w14:textId="77777777" w:rsidR="003D39E0" w:rsidRPr="00F45482" w:rsidRDefault="0037617D" w:rsidP="0017412A">
      <w:pPr>
        <w:pStyle w:val="BodyTextIndent"/>
        <w:numPr>
          <w:ilvl w:val="0"/>
          <w:numId w:val="20"/>
        </w:numPr>
        <w:ind w:left="720"/>
        <w:rPr>
          <w:rFonts w:ascii="Book Antiqua" w:hAnsi="Book Antiqua"/>
          <w:sz w:val="24"/>
        </w:rPr>
      </w:pPr>
      <w:r w:rsidRPr="00F45482">
        <w:rPr>
          <w:rFonts w:ascii="Book Antiqua" w:hAnsi="Book Antiqua"/>
          <w:sz w:val="24"/>
        </w:rPr>
        <w:t>When a patient has brought sufficient documentation to prove financial status</w:t>
      </w:r>
      <w:r w:rsidR="0002254D" w:rsidRPr="00F45482">
        <w:rPr>
          <w:rFonts w:ascii="Book Antiqua" w:hAnsi="Book Antiqua"/>
          <w:sz w:val="24"/>
        </w:rPr>
        <w:t xml:space="preserve"> and liquid assets</w:t>
      </w:r>
      <w:r w:rsidRPr="00F45482">
        <w:rPr>
          <w:rFonts w:ascii="Book Antiqua" w:hAnsi="Book Antiqua"/>
          <w:sz w:val="24"/>
        </w:rPr>
        <w:t>, financial counseling will determine their eligibility.</w:t>
      </w:r>
    </w:p>
    <w:p w14:paraId="5826EE68" w14:textId="77777777" w:rsidR="0037617D" w:rsidRDefault="0037617D">
      <w:pPr>
        <w:ind w:left="720"/>
        <w:rPr>
          <w:rFonts w:ascii="Book Antiqua" w:hAnsi="Book Antiqua"/>
          <w:sz w:val="24"/>
        </w:rPr>
      </w:pPr>
    </w:p>
    <w:p w14:paraId="6894FB33" w14:textId="274D2995" w:rsidR="00A20A1F" w:rsidRPr="0017412A" w:rsidRDefault="00A20A1F" w:rsidP="0017412A">
      <w:pPr>
        <w:ind w:firstLine="360"/>
        <w:rPr>
          <w:rFonts w:ascii="Book Antiqua" w:hAnsi="Book Antiqua"/>
          <w:bCs/>
          <w:sz w:val="24"/>
          <w:u w:val="single"/>
        </w:rPr>
      </w:pPr>
      <w:r w:rsidRPr="0017412A">
        <w:rPr>
          <w:rFonts w:ascii="Book Antiqua" w:hAnsi="Book Antiqua"/>
          <w:bCs/>
          <w:sz w:val="24"/>
          <w:u w:val="single"/>
        </w:rPr>
        <w:t xml:space="preserve">Eligibility </w:t>
      </w:r>
    </w:p>
    <w:p w14:paraId="780A3E73" w14:textId="77777777" w:rsidR="00C37439" w:rsidRDefault="00C37439" w:rsidP="00C37439">
      <w:pPr>
        <w:pStyle w:val="BodyTextIndent"/>
        <w:ind w:left="0"/>
        <w:rPr>
          <w:rFonts w:ascii="Book Antiqua" w:hAnsi="Book Antiqua"/>
          <w:sz w:val="24"/>
        </w:rPr>
      </w:pPr>
    </w:p>
    <w:p w14:paraId="3675B130" w14:textId="47C527ED" w:rsidR="0037617D" w:rsidRDefault="006558A4" w:rsidP="0017412A">
      <w:pPr>
        <w:pStyle w:val="BodyTextIndent"/>
        <w:numPr>
          <w:ilvl w:val="0"/>
          <w:numId w:val="20"/>
        </w:numPr>
        <w:ind w:left="720"/>
        <w:rPr>
          <w:rFonts w:ascii="Book Antiqua" w:hAnsi="Book Antiqua"/>
          <w:sz w:val="24"/>
        </w:rPr>
      </w:pPr>
      <w:r>
        <w:rPr>
          <w:rFonts w:ascii="Book Antiqua" w:hAnsi="Book Antiqua"/>
          <w:sz w:val="24"/>
        </w:rPr>
        <w:t xml:space="preserve">The </w:t>
      </w:r>
      <w:r w:rsidR="00A20A1F">
        <w:rPr>
          <w:rFonts w:ascii="Book Antiqua" w:hAnsi="Book Antiqua"/>
          <w:sz w:val="24"/>
        </w:rPr>
        <w:t xml:space="preserve">FA Income Guidelines Table </w:t>
      </w:r>
      <w:r>
        <w:rPr>
          <w:rFonts w:ascii="Book Antiqua" w:hAnsi="Book Antiqua"/>
          <w:sz w:val="24"/>
        </w:rPr>
        <w:t>(adjusted annually)</w:t>
      </w:r>
      <w:r w:rsidR="009546C6">
        <w:rPr>
          <w:rFonts w:ascii="Book Antiqua" w:hAnsi="Book Antiqua"/>
          <w:sz w:val="24"/>
        </w:rPr>
        <w:t xml:space="preserve"> </w:t>
      </w:r>
      <w:r w:rsidR="00A20A1F">
        <w:rPr>
          <w:rFonts w:ascii="Book Antiqua" w:hAnsi="Book Antiqua"/>
          <w:sz w:val="24"/>
        </w:rPr>
        <w:t xml:space="preserve">should be utilized to coincide with the </w:t>
      </w:r>
      <w:r w:rsidR="0037617D">
        <w:rPr>
          <w:rFonts w:ascii="Book Antiqua" w:hAnsi="Book Antiqua"/>
          <w:sz w:val="24"/>
        </w:rPr>
        <w:t>Federal Poverty Guidelines for the current year available as issued by the Department of Health and Huma</w:t>
      </w:r>
      <w:r w:rsidR="00A20A1F">
        <w:rPr>
          <w:rFonts w:ascii="Book Antiqua" w:hAnsi="Book Antiqua"/>
          <w:sz w:val="24"/>
        </w:rPr>
        <w:t xml:space="preserve">n Services and </w:t>
      </w:r>
      <w:r w:rsidR="00E7484F">
        <w:rPr>
          <w:rFonts w:ascii="Book Antiqua" w:hAnsi="Book Antiqua"/>
          <w:sz w:val="24"/>
        </w:rPr>
        <w:t>will be</w:t>
      </w:r>
      <w:r w:rsidR="00A20A1F">
        <w:rPr>
          <w:rFonts w:ascii="Book Antiqua" w:hAnsi="Book Antiqua"/>
          <w:sz w:val="24"/>
        </w:rPr>
        <w:t xml:space="preserve"> raised as follows:</w:t>
      </w:r>
    </w:p>
    <w:p w14:paraId="4A9908C7" w14:textId="77777777" w:rsidR="00DA6BD1" w:rsidRDefault="00DA6BD1" w:rsidP="0017412A">
      <w:pPr>
        <w:pStyle w:val="BodyTextIndent"/>
        <w:ind w:hanging="360"/>
        <w:rPr>
          <w:rFonts w:ascii="Book Antiqua" w:hAnsi="Book Antiqua"/>
          <w:sz w:val="24"/>
        </w:rPr>
      </w:pPr>
    </w:p>
    <w:p w14:paraId="6BF29242" w14:textId="77777777" w:rsidR="00A20A1F" w:rsidRDefault="00A20A1F" w:rsidP="0017412A">
      <w:pPr>
        <w:pStyle w:val="BodyTextIndent"/>
        <w:numPr>
          <w:ilvl w:val="0"/>
          <w:numId w:val="20"/>
        </w:numPr>
        <w:ind w:left="720"/>
        <w:rPr>
          <w:rFonts w:ascii="Book Antiqua" w:hAnsi="Book Antiqua"/>
          <w:b/>
          <w:sz w:val="24"/>
        </w:rPr>
      </w:pPr>
      <w:r>
        <w:rPr>
          <w:rFonts w:ascii="Book Antiqua" w:hAnsi="Book Antiqua"/>
          <w:sz w:val="24"/>
        </w:rPr>
        <w:t xml:space="preserve">Patients with Gross Annual Family Income </w:t>
      </w:r>
      <w:r w:rsidRPr="00F45482">
        <w:rPr>
          <w:rFonts w:ascii="Book Antiqua" w:hAnsi="Book Antiqua"/>
          <w:b/>
          <w:sz w:val="24"/>
          <w:u w:val="single"/>
        </w:rPr>
        <w:t>less than or equal to 138%</w:t>
      </w:r>
      <w:r w:rsidRPr="00F45482">
        <w:rPr>
          <w:rFonts w:ascii="Book Antiqua" w:hAnsi="Book Antiqua"/>
          <w:sz w:val="24"/>
        </w:rPr>
        <w:t xml:space="preserve"> of the current HHS Poverty guidelines.</w:t>
      </w:r>
    </w:p>
    <w:p w14:paraId="53E1D141" w14:textId="77777777" w:rsidR="00DA6BD1" w:rsidRPr="00DA6BD1" w:rsidRDefault="00DA6BD1" w:rsidP="0017412A">
      <w:pPr>
        <w:pStyle w:val="BodyTextIndent"/>
        <w:ind w:hanging="360"/>
        <w:rPr>
          <w:rFonts w:ascii="Book Antiqua" w:hAnsi="Book Antiqua"/>
          <w:b/>
          <w:sz w:val="24"/>
        </w:rPr>
      </w:pPr>
    </w:p>
    <w:p w14:paraId="19259E61" w14:textId="370B4706" w:rsidR="00F45482" w:rsidRDefault="00A20A1F" w:rsidP="0017412A">
      <w:pPr>
        <w:pStyle w:val="BodyTextIndent"/>
        <w:numPr>
          <w:ilvl w:val="0"/>
          <w:numId w:val="20"/>
        </w:numPr>
        <w:ind w:left="720"/>
        <w:rPr>
          <w:rFonts w:ascii="Book Antiqua" w:hAnsi="Book Antiqua"/>
          <w:sz w:val="24"/>
        </w:rPr>
      </w:pPr>
      <w:r>
        <w:rPr>
          <w:rFonts w:ascii="Book Antiqua" w:hAnsi="Book Antiqua"/>
          <w:sz w:val="24"/>
        </w:rPr>
        <w:t xml:space="preserve">These patients should qualify for Medicaid.  However, if the patient refuses to apply for Medicaid, the patient </w:t>
      </w:r>
      <w:r w:rsidRPr="00DA6BD1">
        <w:rPr>
          <w:rFonts w:ascii="Book Antiqua" w:hAnsi="Book Antiqua"/>
          <w:b/>
          <w:sz w:val="24"/>
        </w:rPr>
        <w:t>should not qualify for FA</w:t>
      </w:r>
      <w:r>
        <w:rPr>
          <w:rFonts w:ascii="Book Antiqua" w:hAnsi="Book Antiqua"/>
          <w:sz w:val="24"/>
        </w:rPr>
        <w:t xml:space="preserve"> and should be handled as a </w:t>
      </w:r>
      <w:r w:rsidR="00E7484F">
        <w:rPr>
          <w:rFonts w:ascii="Book Antiqua" w:hAnsi="Book Antiqua"/>
          <w:sz w:val="24"/>
        </w:rPr>
        <w:t>self-pay</w:t>
      </w:r>
      <w:r>
        <w:rPr>
          <w:rFonts w:ascii="Book Antiqua" w:hAnsi="Book Antiqua"/>
          <w:sz w:val="24"/>
        </w:rPr>
        <w:t xml:space="preserve"> patient. Exceptions may apply and the RGH reserves that right to determine if exceptions will be granted.</w:t>
      </w:r>
    </w:p>
    <w:p w14:paraId="5339BB11" w14:textId="77777777" w:rsidR="00F45482" w:rsidRDefault="00F45482" w:rsidP="0017412A">
      <w:pPr>
        <w:pStyle w:val="BodyTextIndent"/>
        <w:ind w:hanging="360"/>
        <w:rPr>
          <w:rFonts w:ascii="Book Antiqua" w:hAnsi="Book Antiqua"/>
          <w:sz w:val="24"/>
        </w:rPr>
      </w:pPr>
    </w:p>
    <w:p w14:paraId="68CA4E1F" w14:textId="77777777" w:rsidR="0093468F" w:rsidRDefault="00A20A1F" w:rsidP="0017412A">
      <w:pPr>
        <w:pStyle w:val="BodyTextIndent"/>
        <w:numPr>
          <w:ilvl w:val="0"/>
          <w:numId w:val="20"/>
        </w:numPr>
        <w:ind w:left="720"/>
        <w:rPr>
          <w:rFonts w:ascii="Book Antiqua" w:hAnsi="Book Antiqua"/>
          <w:sz w:val="24"/>
        </w:rPr>
      </w:pPr>
      <w:r w:rsidRPr="003F50F4">
        <w:rPr>
          <w:rFonts w:ascii="Book Antiqua" w:hAnsi="Book Antiqua"/>
          <w:sz w:val="24"/>
        </w:rPr>
        <w:t xml:space="preserve">Patients with Gross Annual Family Income </w:t>
      </w:r>
      <w:r w:rsidR="0093468F" w:rsidRPr="003F50F4">
        <w:rPr>
          <w:rFonts w:ascii="Book Antiqua" w:hAnsi="Book Antiqua"/>
          <w:sz w:val="24"/>
        </w:rPr>
        <w:t xml:space="preserve">of </w:t>
      </w:r>
      <w:r w:rsidR="0093468F" w:rsidRPr="003F50F4">
        <w:rPr>
          <w:rFonts w:ascii="Book Antiqua" w:hAnsi="Book Antiqua"/>
          <w:b/>
          <w:sz w:val="24"/>
          <w:u w:val="single"/>
        </w:rPr>
        <w:t>139% to 300%</w:t>
      </w:r>
      <w:r w:rsidR="0093468F" w:rsidRPr="003F50F4">
        <w:rPr>
          <w:rFonts w:ascii="Book Antiqua" w:hAnsi="Book Antiqua"/>
          <w:sz w:val="24"/>
        </w:rPr>
        <w:t xml:space="preserve"> of Current Poverty Guidelines:</w:t>
      </w:r>
    </w:p>
    <w:p w14:paraId="3423D806" w14:textId="77777777" w:rsidR="00F45482" w:rsidRPr="003F50F4" w:rsidRDefault="00F45482" w:rsidP="00F45482">
      <w:pPr>
        <w:pStyle w:val="BodyTextIndent"/>
        <w:ind w:left="0"/>
        <w:rPr>
          <w:rFonts w:ascii="Book Antiqua" w:hAnsi="Book Antiqua"/>
          <w:sz w:val="24"/>
        </w:rPr>
      </w:pPr>
    </w:p>
    <w:p w14:paraId="5E233312" w14:textId="77777777" w:rsidR="0093468F" w:rsidRDefault="003D39E0" w:rsidP="00C37439">
      <w:pPr>
        <w:pStyle w:val="BodyTextIndent"/>
        <w:numPr>
          <w:ilvl w:val="1"/>
          <w:numId w:val="21"/>
        </w:numPr>
        <w:rPr>
          <w:rFonts w:ascii="Book Antiqua" w:hAnsi="Book Antiqua"/>
          <w:b/>
          <w:sz w:val="24"/>
          <w:u w:val="single"/>
        </w:rPr>
      </w:pPr>
      <w:r w:rsidRPr="003F50F4">
        <w:rPr>
          <w:rFonts w:ascii="Book Antiqua" w:hAnsi="Book Antiqua"/>
          <w:b/>
          <w:sz w:val="24"/>
          <w:u w:val="single"/>
        </w:rPr>
        <w:t>100</w:t>
      </w:r>
      <w:r w:rsidR="00F45482">
        <w:rPr>
          <w:rFonts w:ascii="Book Antiqua" w:hAnsi="Book Antiqua"/>
          <w:b/>
          <w:sz w:val="24"/>
          <w:u w:val="single"/>
        </w:rPr>
        <w:t>% Financial Assistance</w:t>
      </w:r>
      <w:r w:rsidR="0093468F" w:rsidRPr="003F50F4">
        <w:rPr>
          <w:rFonts w:ascii="Book Antiqua" w:hAnsi="Book Antiqua"/>
          <w:b/>
          <w:sz w:val="24"/>
          <w:u w:val="single"/>
        </w:rPr>
        <w:t xml:space="preserve"> if income is &lt; or = 200%</w:t>
      </w:r>
    </w:p>
    <w:p w14:paraId="076B3207" w14:textId="77777777" w:rsidR="00DA6BD1" w:rsidRPr="003F50F4" w:rsidRDefault="00DA6BD1" w:rsidP="00C37439">
      <w:pPr>
        <w:pStyle w:val="BodyTextIndent"/>
        <w:rPr>
          <w:rFonts w:ascii="Book Antiqua" w:hAnsi="Book Antiqua"/>
          <w:b/>
          <w:color w:val="FF0000"/>
          <w:sz w:val="24"/>
          <w:u w:val="single"/>
        </w:rPr>
      </w:pPr>
    </w:p>
    <w:p w14:paraId="366AED04" w14:textId="77777777" w:rsidR="0093468F" w:rsidRDefault="00DA6BD1" w:rsidP="00C37439">
      <w:pPr>
        <w:pStyle w:val="BodyTextIndent"/>
        <w:numPr>
          <w:ilvl w:val="1"/>
          <w:numId w:val="21"/>
        </w:numPr>
        <w:rPr>
          <w:rFonts w:ascii="Book Antiqua" w:hAnsi="Book Antiqua"/>
          <w:b/>
          <w:sz w:val="24"/>
          <w:u w:val="single"/>
        </w:rPr>
      </w:pPr>
      <w:r>
        <w:rPr>
          <w:rFonts w:ascii="Book Antiqua" w:hAnsi="Book Antiqua"/>
          <w:b/>
          <w:sz w:val="24"/>
          <w:u w:val="single"/>
        </w:rPr>
        <w:t>50%</w:t>
      </w:r>
      <w:r w:rsidR="00F45482">
        <w:rPr>
          <w:rFonts w:ascii="Book Antiqua" w:hAnsi="Book Antiqua"/>
          <w:b/>
          <w:sz w:val="24"/>
          <w:u w:val="single"/>
        </w:rPr>
        <w:t xml:space="preserve"> Financial Assistance</w:t>
      </w:r>
      <w:r w:rsidR="0093468F" w:rsidRPr="003F50F4">
        <w:rPr>
          <w:rFonts w:ascii="Book Antiqua" w:hAnsi="Book Antiqua"/>
          <w:b/>
          <w:sz w:val="24"/>
          <w:u w:val="single"/>
        </w:rPr>
        <w:t xml:space="preserve"> if income is 201% to 300%</w:t>
      </w:r>
    </w:p>
    <w:p w14:paraId="3F138E51" w14:textId="77777777" w:rsidR="00DA6BD1" w:rsidRPr="003F50F4" w:rsidRDefault="00DA6BD1" w:rsidP="00C37439">
      <w:pPr>
        <w:pStyle w:val="BodyTextIndent"/>
        <w:rPr>
          <w:rFonts w:ascii="Book Antiqua" w:hAnsi="Book Antiqua"/>
          <w:b/>
          <w:sz w:val="24"/>
          <w:u w:val="single"/>
        </w:rPr>
      </w:pPr>
    </w:p>
    <w:p w14:paraId="6C47876C" w14:textId="69949D03" w:rsidR="00F45482" w:rsidRDefault="00A20A1F" w:rsidP="00C37439">
      <w:pPr>
        <w:pStyle w:val="BodyTextIndent"/>
        <w:numPr>
          <w:ilvl w:val="2"/>
          <w:numId w:val="21"/>
        </w:numPr>
        <w:rPr>
          <w:rFonts w:ascii="Book Antiqua" w:hAnsi="Book Antiqua"/>
          <w:sz w:val="24"/>
        </w:rPr>
      </w:pPr>
      <w:r w:rsidRPr="003F50F4">
        <w:rPr>
          <w:rFonts w:ascii="Book Antiqua" w:hAnsi="Book Antiqua"/>
          <w:sz w:val="24"/>
        </w:rPr>
        <w:t xml:space="preserve">These patients should qualify for </w:t>
      </w:r>
      <w:r w:rsidR="0093468F" w:rsidRPr="003F50F4">
        <w:rPr>
          <w:rFonts w:ascii="Book Antiqua" w:hAnsi="Book Antiqua"/>
          <w:sz w:val="24"/>
        </w:rPr>
        <w:t>the Marketplace</w:t>
      </w:r>
      <w:r w:rsidR="00C14389" w:rsidRPr="003F50F4">
        <w:rPr>
          <w:rFonts w:ascii="Book Antiqua" w:hAnsi="Book Antiqua"/>
          <w:sz w:val="24"/>
        </w:rPr>
        <w:t xml:space="preserve"> and will be encouraged to enroll during open enrollment.</w:t>
      </w:r>
      <w:r w:rsidRPr="003F50F4">
        <w:rPr>
          <w:rFonts w:ascii="Book Antiqua" w:hAnsi="Book Antiqua"/>
          <w:sz w:val="24"/>
        </w:rPr>
        <w:t xml:space="preserve">  However, if the patient refuses to </w:t>
      </w:r>
      <w:r w:rsidR="0093468F" w:rsidRPr="003F50F4">
        <w:rPr>
          <w:rFonts w:ascii="Book Antiqua" w:hAnsi="Book Antiqua"/>
          <w:sz w:val="24"/>
        </w:rPr>
        <w:t>obtain coverage via the Marketplace</w:t>
      </w:r>
      <w:r w:rsidR="00C14389" w:rsidRPr="003F50F4">
        <w:rPr>
          <w:rFonts w:ascii="Book Antiqua" w:hAnsi="Book Antiqua"/>
          <w:sz w:val="24"/>
        </w:rPr>
        <w:t xml:space="preserve"> or open enrollment is closed</w:t>
      </w:r>
      <w:r w:rsidR="0093468F" w:rsidRPr="003F50F4">
        <w:rPr>
          <w:rFonts w:ascii="Book Antiqua" w:hAnsi="Book Antiqua"/>
          <w:sz w:val="24"/>
        </w:rPr>
        <w:t>,</w:t>
      </w:r>
      <w:r w:rsidR="00C14389" w:rsidRPr="003F50F4">
        <w:rPr>
          <w:rFonts w:ascii="Book Antiqua" w:hAnsi="Book Antiqua"/>
          <w:sz w:val="24"/>
        </w:rPr>
        <w:t xml:space="preserve"> the patient will</w:t>
      </w:r>
      <w:r w:rsidRPr="003F50F4">
        <w:rPr>
          <w:rFonts w:ascii="Book Antiqua" w:hAnsi="Book Antiqua"/>
          <w:sz w:val="24"/>
        </w:rPr>
        <w:t xml:space="preserve"> qualify for </w:t>
      </w:r>
      <w:r w:rsidR="00DA6BD1">
        <w:rPr>
          <w:rFonts w:ascii="Book Antiqua" w:hAnsi="Book Antiqua"/>
          <w:sz w:val="24"/>
        </w:rPr>
        <w:t>50</w:t>
      </w:r>
      <w:r w:rsidR="00C14389" w:rsidRPr="003F50F4">
        <w:rPr>
          <w:rFonts w:ascii="Book Antiqua" w:hAnsi="Book Antiqua"/>
          <w:sz w:val="24"/>
        </w:rPr>
        <w:t xml:space="preserve">% </w:t>
      </w:r>
      <w:r w:rsidRPr="003F50F4">
        <w:rPr>
          <w:rFonts w:ascii="Book Antiqua" w:hAnsi="Book Antiqua"/>
          <w:sz w:val="24"/>
        </w:rPr>
        <w:t xml:space="preserve">FA </w:t>
      </w:r>
      <w:r w:rsidR="0093468F" w:rsidRPr="003F50F4">
        <w:rPr>
          <w:rFonts w:ascii="Book Antiqua" w:hAnsi="Book Antiqua"/>
          <w:sz w:val="24"/>
        </w:rPr>
        <w:t xml:space="preserve">and </w:t>
      </w:r>
      <w:r w:rsidR="00F45482">
        <w:rPr>
          <w:rFonts w:ascii="Book Antiqua" w:hAnsi="Book Antiqua"/>
          <w:sz w:val="24"/>
        </w:rPr>
        <w:t xml:space="preserve">the balance </w:t>
      </w:r>
      <w:r w:rsidR="0093468F" w:rsidRPr="003F50F4">
        <w:rPr>
          <w:rFonts w:ascii="Book Antiqua" w:hAnsi="Book Antiqua"/>
          <w:sz w:val="24"/>
        </w:rPr>
        <w:t xml:space="preserve">should be </w:t>
      </w:r>
      <w:r w:rsidR="00C14389" w:rsidRPr="003F50F4">
        <w:rPr>
          <w:rFonts w:ascii="Book Antiqua" w:hAnsi="Book Antiqua"/>
          <w:sz w:val="24"/>
        </w:rPr>
        <w:t xml:space="preserve">continue to be </w:t>
      </w:r>
      <w:r w:rsidR="0093468F" w:rsidRPr="003F50F4">
        <w:rPr>
          <w:rFonts w:ascii="Book Antiqua" w:hAnsi="Book Antiqua"/>
          <w:sz w:val="24"/>
        </w:rPr>
        <w:t xml:space="preserve">handled as a </w:t>
      </w:r>
      <w:r w:rsidR="00E7484F" w:rsidRPr="003F50F4">
        <w:rPr>
          <w:rFonts w:ascii="Book Antiqua" w:hAnsi="Book Antiqua"/>
          <w:sz w:val="24"/>
        </w:rPr>
        <w:t>self-</w:t>
      </w:r>
      <w:r w:rsidR="00E7484F">
        <w:rPr>
          <w:rFonts w:ascii="Book Antiqua" w:hAnsi="Book Antiqua"/>
          <w:sz w:val="24"/>
        </w:rPr>
        <w:t>pay</w:t>
      </w:r>
      <w:r w:rsidRPr="003F50F4">
        <w:rPr>
          <w:rFonts w:ascii="Book Antiqua" w:hAnsi="Book Antiqua"/>
          <w:sz w:val="24"/>
        </w:rPr>
        <w:t xml:space="preserve">. </w:t>
      </w:r>
    </w:p>
    <w:p w14:paraId="0F233DD0" w14:textId="77777777" w:rsidR="00F45482" w:rsidRDefault="00F45482" w:rsidP="00F45482">
      <w:pPr>
        <w:pStyle w:val="BodyTextIndent"/>
        <w:rPr>
          <w:rFonts w:ascii="Book Antiqua" w:hAnsi="Book Antiqua"/>
          <w:sz w:val="24"/>
        </w:rPr>
      </w:pPr>
    </w:p>
    <w:p w14:paraId="5607068A" w14:textId="77777777" w:rsidR="0093468F" w:rsidRPr="00F45482" w:rsidRDefault="0093468F" w:rsidP="00F45482">
      <w:pPr>
        <w:pStyle w:val="BodyTextIndent"/>
        <w:rPr>
          <w:rFonts w:ascii="Book Antiqua" w:hAnsi="Book Antiqua"/>
          <w:i/>
          <w:sz w:val="24"/>
        </w:rPr>
      </w:pPr>
      <w:r w:rsidRPr="00F45482">
        <w:rPr>
          <w:rFonts w:ascii="Book Antiqua" w:hAnsi="Book Antiqua"/>
          <w:i/>
          <w:sz w:val="24"/>
        </w:rPr>
        <w:t>Exceptions may apply and RGH reserves that right to determine if exceptions will be granted.</w:t>
      </w:r>
    </w:p>
    <w:p w14:paraId="6692BBE4" w14:textId="77777777" w:rsidR="00F45482" w:rsidRPr="003F50F4" w:rsidRDefault="00F45482" w:rsidP="00F45482">
      <w:pPr>
        <w:pStyle w:val="BodyTextIndent"/>
        <w:rPr>
          <w:rFonts w:ascii="Book Antiqua" w:hAnsi="Book Antiqua"/>
          <w:sz w:val="24"/>
        </w:rPr>
      </w:pPr>
    </w:p>
    <w:p w14:paraId="263EF8EA" w14:textId="77777777" w:rsidR="0037617D" w:rsidRPr="00F45482" w:rsidRDefault="006558A4" w:rsidP="00F45482">
      <w:pPr>
        <w:pStyle w:val="BodyTextIndent"/>
        <w:rPr>
          <w:rFonts w:ascii="Book Antiqua" w:hAnsi="Book Antiqua"/>
          <w:i/>
          <w:sz w:val="24"/>
        </w:rPr>
      </w:pPr>
      <w:r w:rsidRPr="00F45482">
        <w:rPr>
          <w:rFonts w:ascii="Book Antiqua" w:hAnsi="Book Antiqua"/>
          <w:i/>
          <w:sz w:val="24"/>
        </w:rPr>
        <w:t xml:space="preserve">NOTE: </w:t>
      </w:r>
      <w:r w:rsidR="0093468F" w:rsidRPr="00F45482">
        <w:rPr>
          <w:rFonts w:ascii="Book Antiqua" w:hAnsi="Book Antiqua"/>
          <w:i/>
          <w:sz w:val="24"/>
        </w:rPr>
        <w:t xml:space="preserve">Patients with coverage in the Marketplace may be approved for FA </w:t>
      </w:r>
      <w:r w:rsidRPr="00F45482">
        <w:rPr>
          <w:rFonts w:ascii="Book Antiqua" w:hAnsi="Book Antiqua"/>
          <w:i/>
          <w:sz w:val="24"/>
        </w:rPr>
        <w:t xml:space="preserve">as </w:t>
      </w:r>
      <w:r w:rsidR="0093468F" w:rsidRPr="00F45482">
        <w:rPr>
          <w:rFonts w:ascii="Book Antiqua" w:hAnsi="Book Antiqua"/>
          <w:i/>
          <w:sz w:val="24"/>
        </w:rPr>
        <w:t xml:space="preserve">“underinsured” patients for coverage of patient liabilities after insurance.  </w:t>
      </w:r>
    </w:p>
    <w:p w14:paraId="58DFEFBD" w14:textId="77777777" w:rsidR="003D39E0" w:rsidRPr="00F45482" w:rsidRDefault="003D39E0" w:rsidP="00F45482">
      <w:pPr>
        <w:pStyle w:val="BodyTextIndent"/>
        <w:ind w:left="3600"/>
        <w:rPr>
          <w:rFonts w:ascii="Book Antiqua" w:hAnsi="Book Antiqua"/>
          <w:i/>
          <w:sz w:val="24"/>
        </w:rPr>
      </w:pPr>
    </w:p>
    <w:p w14:paraId="11774EC3" w14:textId="3879B1A3" w:rsidR="009546C6" w:rsidRDefault="0093468F" w:rsidP="00C61CEE">
      <w:pPr>
        <w:pStyle w:val="BodyTextIndent"/>
        <w:rPr>
          <w:rFonts w:ascii="Book Antiqua" w:hAnsi="Book Antiqua"/>
          <w:b/>
          <w:sz w:val="24"/>
        </w:rPr>
      </w:pPr>
      <w:r w:rsidRPr="00F45482">
        <w:rPr>
          <w:rFonts w:ascii="Book Antiqua" w:hAnsi="Book Antiqua"/>
          <w:i/>
          <w:sz w:val="24"/>
        </w:rPr>
        <w:t>NOTE: If the patient’s assets exceed the hospital’s balance due, FA may be denied.</w:t>
      </w:r>
    </w:p>
    <w:p w14:paraId="2915380D" w14:textId="77777777" w:rsidR="009546C6" w:rsidRDefault="009546C6">
      <w:pPr>
        <w:pStyle w:val="Heading1"/>
        <w:rPr>
          <w:rFonts w:ascii="Book Antiqua" w:hAnsi="Book Antiqua"/>
          <w:b w:val="0"/>
          <w:sz w:val="24"/>
        </w:rPr>
      </w:pPr>
    </w:p>
    <w:p w14:paraId="2E1420D1" w14:textId="2616E848" w:rsidR="0037617D" w:rsidRPr="0017412A" w:rsidRDefault="0037617D" w:rsidP="0017412A">
      <w:pPr>
        <w:ind w:firstLine="360"/>
        <w:rPr>
          <w:rFonts w:ascii="Book Antiqua" w:hAnsi="Book Antiqua"/>
          <w:bCs/>
          <w:sz w:val="24"/>
          <w:u w:val="single"/>
        </w:rPr>
      </w:pPr>
      <w:r w:rsidRPr="0017412A">
        <w:rPr>
          <w:rFonts w:ascii="Book Antiqua" w:hAnsi="Book Antiqua"/>
          <w:bCs/>
          <w:sz w:val="24"/>
          <w:u w:val="single"/>
        </w:rPr>
        <w:t>Application Processing</w:t>
      </w:r>
    </w:p>
    <w:p w14:paraId="553BC073" w14:textId="77777777" w:rsidR="0037617D" w:rsidRDefault="0037617D">
      <w:pPr>
        <w:rPr>
          <w:rFonts w:ascii="Book Antiqua" w:hAnsi="Book Antiqua"/>
          <w:sz w:val="24"/>
        </w:rPr>
      </w:pPr>
    </w:p>
    <w:p w14:paraId="7052E367" w14:textId="77777777" w:rsidR="006558A4" w:rsidRDefault="0037617D" w:rsidP="00C37439">
      <w:pPr>
        <w:numPr>
          <w:ilvl w:val="0"/>
          <w:numId w:val="15"/>
        </w:numPr>
        <w:rPr>
          <w:rFonts w:ascii="Book Antiqua" w:hAnsi="Book Antiqua"/>
          <w:sz w:val="24"/>
        </w:rPr>
      </w:pPr>
      <w:r>
        <w:rPr>
          <w:rFonts w:ascii="Book Antiqua" w:hAnsi="Book Antiqua"/>
          <w:sz w:val="24"/>
        </w:rPr>
        <w:t>A financial assistance application may be completed at time of service or any time during the collection process until the account is transferred to bad debt.</w:t>
      </w:r>
    </w:p>
    <w:p w14:paraId="36EAC846" w14:textId="77777777" w:rsidR="006558A4" w:rsidRDefault="006558A4" w:rsidP="006558A4">
      <w:pPr>
        <w:ind w:left="1080"/>
        <w:rPr>
          <w:rFonts w:ascii="Book Antiqua" w:hAnsi="Book Antiqua"/>
          <w:sz w:val="24"/>
        </w:rPr>
      </w:pPr>
    </w:p>
    <w:p w14:paraId="681207F5" w14:textId="596AF255" w:rsidR="006558A4" w:rsidRPr="004B091A" w:rsidRDefault="006558A4" w:rsidP="00C37439">
      <w:pPr>
        <w:numPr>
          <w:ilvl w:val="0"/>
          <w:numId w:val="15"/>
        </w:numPr>
        <w:rPr>
          <w:rFonts w:ascii="Book Antiqua" w:hAnsi="Book Antiqua"/>
          <w:sz w:val="24"/>
        </w:rPr>
      </w:pPr>
      <w:r w:rsidRPr="004B091A">
        <w:rPr>
          <w:rFonts w:ascii="Book Antiqua" w:hAnsi="Book Antiqua"/>
          <w:sz w:val="24"/>
        </w:rPr>
        <w:t>In cases</w:t>
      </w:r>
      <w:r w:rsidR="0037617D" w:rsidRPr="004B091A">
        <w:rPr>
          <w:rFonts w:ascii="Book Antiqua" w:hAnsi="Book Antiqua"/>
          <w:sz w:val="24"/>
        </w:rPr>
        <w:t xml:space="preserve"> where the financial information is incomplete, the patient will be assigned a private pay financial class until all supporting financial documentation is submitted. </w:t>
      </w:r>
    </w:p>
    <w:p w14:paraId="16C83CBD" w14:textId="77777777" w:rsidR="006558A4" w:rsidRDefault="006558A4">
      <w:pPr>
        <w:rPr>
          <w:rFonts w:ascii="Book Antiqua" w:hAnsi="Book Antiqua"/>
          <w:sz w:val="24"/>
        </w:rPr>
      </w:pPr>
    </w:p>
    <w:p w14:paraId="1ACEE65E" w14:textId="4F952349" w:rsidR="0037617D" w:rsidRPr="0017412A" w:rsidRDefault="0037617D" w:rsidP="0017412A">
      <w:pPr>
        <w:ind w:firstLine="360"/>
        <w:rPr>
          <w:rFonts w:ascii="Book Antiqua" w:hAnsi="Book Antiqua"/>
          <w:bCs/>
          <w:sz w:val="24"/>
          <w:u w:val="single"/>
        </w:rPr>
      </w:pPr>
      <w:r w:rsidRPr="0017412A">
        <w:rPr>
          <w:rFonts w:ascii="Book Antiqua" w:hAnsi="Book Antiqua"/>
          <w:bCs/>
          <w:sz w:val="24"/>
          <w:u w:val="single"/>
        </w:rPr>
        <w:t>Approval Periods</w:t>
      </w:r>
    </w:p>
    <w:p w14:paraId="0E687779" w14:textId="77777777" w:rsidR="0037617D" w:rsidRDefault="0037617D">
      <w:pPr>
        <w:rPr>
          <w:rFonts w:ascii="Book Antiqua" w:hAnsi="Book Antiqua"/>
          <w:b/>
          <w:bCs/>
          <w:sz w:val="24"/>
          <w:u w:val="single"/>
        </w:rPr>
      </w:pPr>
    </w:p>
    <w:p w14:paraId="58BC0FD5" w14:textId="0F57E424" w:rsidR="0037617D" w:rsidRDefault="0037617D" w:rsidP="00C37439">
      <w:pPr>
        <w:pStyle w:val="BodyTextIndent2"/>
        <w:numPr>
          <w:ilvl w:val="0"/>
          <w:numId w:val="16"/>
        </w:numPr>
      </w:pPr>
      <w:r>
        <w:t xml:space="preserve">Once signed, completed and approved the application for financial assistance </w:t>
      </w:r>
      <w:r w:rsidR="002B79CF">
        <w:t>may be retroactively approved for all active Accounts Receivable accounts</w:t>
      </w:r>
      <w:r w:rsidR="0014691E">
        <w:t xml:space="preserve"> that are in good standing</w:t>
      </w:r>
      <w:r w:rsidR="002B79CF">
        <w:t xml:space="preserve"> and </w:t>
      </w:r>
      <w:r w:rsidR="00B23713">
        <w:t xml:space="preserve">will </w:t>
      </w:r>
      <w:r w:rsidR="00730B22">
        <w:t xml:space="preserve">also be </w:t>
      </w:r>
      <w:r>
        <w:t xml:space="preserve">effective </w:t>
      </w:r>
      <w:r w:rsidR="00E7484F">
        <w:t>twelve (12)</w:t>
      </w:r>
      <w:r>
        <w:t xml:space="preserve"> months</w:t>
      </w:r>
      <w:r w:rsidR="00730B22">
        <w:t xml:space="preserve"> after the approval date</w:t>
      </w:r>
      <w:r>
        <w:t>.</w:t>
      </w:r>
    </w:p>
    <w:p w14:paraId="39D7EF8D" w14:textId="31683137" w:rsidR="00283BE9" w:rsidRDefault="00283BE9" w:rsidP="00283BE9">
      <w:pPr>
        <w:pStyle w:val="BodyTextIndent2"/>
        <w:numPr>
          <w:ilvl w:val="1"/>
          <w:numId w:val="16"/>
        </w:numPr>
      </w:pPr>
      <w:r>
        <w:t xml:space="preserve">It is expected that if a patient who receives Financial Assistance under the Policy subsequently has a substantial change in circumstances (such as changing from uninsured to insured status), the patient will notify the </w:t>
      </w:r>
      <w:r w:rsidR="00157FE5">
        <w:t>Roane General Hospital</w:t>
      </w:r>
      <w:r>
        <w:t xml:space="preserve"> Financ</w:t>
      </w:r>
      <w:r w:rsidR="00157FE5">
        <w:t xml:space="preserve">ial Assistance </w:t>
      </w:r>
      <w:r>
        <w:t xml:space="preserve">Department at </w:t>
      </w:r>
      <w:r w:rsidR="00157FE5">
        <w:t>(</w:t>
      </w:r>
      <w:r w:rsidR="00157FE5" w:rsidRPr="00157FE5">
        <w:t>304) 927-6883</w:t>
      </w:r>
      <w:r>
        <w:t xml:space="preserve"> so that this may be taken into account in the future. Such positive changes in circumstances will not be applied to reduce any Financial Assistance already given. In addition, it is not desired that a patient report minor changes in circumstances, but only if it is obvious that the change would be likely to make a major difference in the Financial Assistance determination.</w:t>
      </w:r>
    </w:p>
    <w:p w14:paraId="41B84508" w14:textId="77777777" w:rsidR="0037617D" w:rsidRDefault="0037617D">
      <w:pPr>
        <w:rPr>
          <w:rFonts w:ascii="Book Antiqua" w:hAnsi="Book Antiqua"/>
          <w:sz w:val="24"/>
        </w:rPr>
      </w:pPr>
    </w:p>
    <w:p w14:paraId="553D17E6" w14:textId="78A5A611" w:rsidR="0037617D" w:rsidRPr="0017412A" w:rsidRDefault="0037617D" w:rsidP="0017412A">
      <w:pPr>
        <w:ind w:firstLine="360"/>
        <w:rPr>
          <w:rFonts w:ascii="Book Antiqua" w:hAnsi="Book Antiqua"/>
          <w:bCs/>
          <w:sz w:val="24"/>
          <w:u w:val="single"/>
        </w:rPr>
      </w:pPr>
      <w:r w:rsidRPr="0017412A">
        <w:rPr>
          <w:rFonts w:ascii="Book Antiqua" w:hAnsi="Book Antiqua"/>
          <w:bCs/>
          <w:sz w:val="24"/>
          <w:u w:val="single"/>
        </w:rPr>
        <w:t>Required Documentation</w:t>
      </w:r>
    </w:p>
    <w:p w14:paraId="23CAC426" w14:textId="77777777" w:rsidR="0037617D" w:rsidRDefault="0037617D">
      <w:pPr>
        <w:rPr>
          <w:rFonts w:ascii="Book Antiqua" w:hAnsi="Book Antiqua"/>
          <w:sz w:val="24"/>
        </w:rPr>
      </w:pPr>
      <w:r>
        <w:rPr>
          <w:rFonts w:ascii="Book Antiqua" w:hAnsi="Book Antiqua"/>
          <w:sz w:val="24"/>
        </w:rPr>
        <w:tab/>
      </w:r>
    </w:p>
    <w:p w14:paraId="36C89884" w14:textId="7AF74AEA" w:rsidR="0037617D" w:rsidRPr="006A79F3" w:rsidRDefault="0037617D" w:rsidP="006A79F3">
      <w:pPr>
        <w:numPr>
          <w:ilvl w:val="0"/>
          <w:numId w:val="16"/>
        </w:numPr>
        <w:rPr>
          <w:rFonts w:ascii="Book Antiqua" w:hAnsi="Book Antiqua"/>
          <w:sz w:val="24"/>
        </w:rPr>
      </w:pPr>
      <w:r w:rsidRPr="006A79F3">
        <w:rPr>
          <w:rFonts w:ascii="Book Antiqua" w:hAnsi="Book Antiqua"/>
          <w:sz w:val="24"/>
        </w:rPr>
        <w:t>The documentation required to verify the family household’s gross annual income should be for the p</w:t>
      </w:r>
      <w:r w:rsidR="009835AA" w:rsidRPr="006A79F3">
        <w:rPr>
          <w:rFonts w:ascii="Book Antiqua" w:hAnsi="Book Antiqua"/>
          <w:sz w:val="24"/>
        </w:rPr>
        <w:t xml:space="preserve">ast </w:t>
      </w:r>
      <w:r w:rsidR="00E7484F" w:rsidRPr="006A79F3">
        <w:rPr>
          <w:rFonts w:ascii="Book Antiqua" w:hAnsi="Book Antiqua"/>
          <w:sz w:val="24"/>
        </w:rPr>
        <w:t>two-month</w:t>
      </w:r>
      <w:r w:rsidR="009835AA" w:rsidRPr="006A79F3">
        <w:rPr>
          <w:rFonts w:ascii="Book Antiqua" w:hAnsi="Book Antiqua"/>
          <w:sz w:val="24"/>
        </w:rPr>
        <w:t xml:space="preserve"> period</w:t>
      </w:r>
      <w:r w:rsidRPr="006A79F3">
        <w:rPr>
          <w:rFonts w:ascii="Book Antiqua" w:hAnsi="Book Antiqua"/>
          <w:sz w:val="24"/>
        </w:rPr>
        <w:t xml:space="preserve">.  All </w:t>
      </w:r>
      <w:r w:rsidR="00C9168C" w:rsidRPr="006A79F3">
        <w:rPr>
          <w:rFonts w:ascii="Book Antiqua" w:hAnsi="Book Antiqua"/>
          <w:sz w:val="24"/>
        </w:rPr>
        <w:t xml:space="preserve">applicable </w:t>
      </w:r>
      <w:r w:rsidRPr="006A79F3">
        <w:rPr>
          <w:rFonts w:ascii="Book Antiqua" w:hAnsi="Book Antiqua"/>
          <w:sz w:val="24"/>
        </w:rPr>
        <w:t xml:space="preserve">documentation </w:t>
      </w:r>
      <w:r w:rsidR="00C9168C" w:rsidRPr="006A79F3">
        <w:rPr>
          <w:rFonts w:ascii="Book Antiqua" w:hAnsi="Book Antiqua"/>
          <w:sz w:val="24"/>
        </w:rPr>
        <w:t>must</w:t>
      </w:r>
      <w:r w:rsidRPr="006A79F3">
        <w:rPr>
          <w:rFonts w:ascii="Book Antiqua" w:hAnsi="Book Antiqua"/>
          <w:sz w:val="24"/>
        </w:rPr>
        <w:t xml:space="preserve"> be attached to the application and filed into the patient’s financial record.</w:t>
      </w:r>
    </w:p>
    <w:p w14:paraId="488FD1D9" w14:textId="1AE2BCE5" w:rsidR="0037617D" w:rsidRDefault="0037617D" w:rsidP="00C37439">
      <w:pPr>
        <w:numPr>
          <w:ilvl w:val="0"/>
          <w:numId w:val="16"/>
        </w:numPr>
        <w:rPr>
          <w:rFonts w:ascii="Book Antiqua" w:hAnsi="Book Antiqua"/>
          <w:sz w:val="24"/>
        </w:rPr>
      </w:pPr>
      <w:r>
        <w:rPr>
          <w:rFonts w:ascii="Book Antiqua" w:hAnsi="Book Antiqua"/>
          <w:sz w:val="24"/>
        </w:rPr>
        <w:t>Pay stub</w:t>
      </w:r>
      <w:r w:rsidR="0002254D">
        <w:rPr>
          <w:rFonts w:ascii="Book Antiqua" w:hAnsi="Book Antiqua"/>
          <w:sz w:val="24"/>
        </w:rPr>
        <w:t xml:space="preserve">s for the most current </w:t>
      </w:r>
      <w:r w:rsidR="00E7484F">
        <w:rPr>
          <w:rFonts w:ascii="Book Antiqua" w:hAnsi="Book Antiqua"/>
          <w:sz w:val="24"/>
        </w:rPr>
        <w:t>two-month</w:t>
      </w:r>
      <w:r w:rsidR="0002254D">
        <w:rPr>
          <w:rFonts w:ascii="Book Antiqua" w:hAnsi="Book Antiqua"/>
          <w:sz w:val="24"/>
        </w:rPr>
        <w:t xml:space="preserve"> period</w:t>
      </w:r>
    </w:p>
    <w:p w14:paraId="50726020" w14:textId="77777777" w:rsidR="009835AA" w:rsidRDefault="009835AA" w:rsidP="00C37439">
      <w:pPr>
        <w:numPr>
          <w:ilvl w:val="0"/>
          <w:numId w:val="16"/>
        </w:numPr>
        <w:rPr>
          <w:rFonts w:ascii="Book Antiqua" w:hAnsi="Book Antiqua"/>
          <w:sz w:val="24"/>
        </w:rPr>
      </w:pPr>
      <w:r>
        <w:rPr>
          <w:rFonts w:ascii="Book Antiqua" w:hAnsi="Book Antiqua"/>
          <w:sz w:val="24"/>
        </w:rPr>
        <w:t>W-2 withholding forms or Federal Income Tax Return</w:t>
      </w:r>
    </w:p>
    <w:p w14:paraId="4EDE93DA" w14:textId="77777777" w:rsidR="00C9168C" w:rsidRDefault="00C9168C" w:rsidP="00C37439">
      <w:pPr>
        <w:numPr>
          <w:ilvl w:val="0"/>
          <w:numId w:val="16"/>
        </w:numPr>
        <w:tabs>
          <w:tab w:val="left" w:pos="2160"/>
        </w:tabs>
        <w:rPr>
          <w:rFonts w:ascii="Book Antiqua" w:hAnsi="Book Antiqua"/>
          <w:sz w:val="24"/>
        </w:rPr>
      </w:pPr>
      <w:r>
        <w:rPr>
          <w:rFonts w:ascii="Book Antiqua" w:hAnsi="Book Antiqua"/>
          <w:sz w:val="24"/>
        </w:rPr>
        <w:t>S</w:t>
      </w:r>
      <w:r w:rsidR="0002254D">
        <w:rPr>
          <w:rFonts w:ascii="Book Antiqua" w:hAnsi="Book Antiqua"/>
          <w:sz w:val="24"/>
        </w:rPr>
        <w:t>ocial Security Administration Letter, Pension, Disability, Worker’s Compensation, Unemployment Checks, Alimony and/or Child Support Payments</w:t>
      </w:r>
      <w:r>
        <w:rPr>
          <w:rFonts w:ascii="Book Antiqua" w:hAnsi="Book Antiqua"/>
          <w:sz w:val="24"/>
        </w:rPr>
        <w:t xml:space="preserve"> </w:t>
      </w:r>
    </w:p>
    <w:p w14:paraId="4BDADF12" w14:textId="77777777" w:rsidR="0037617D" w:rsidRDefault="0037617D" w:rsidP="00C37439">
      <w:pPr>
        <w:numPr>
          <w:ilvl w:val="0"/>
          <w:numId w:val="16"/>
        </w:numPr>
        <w:rPr>
          <w:rFonts w:ascii="Book Antiqua" w:hAnsi="Book Antiqua"/>
          <w:sz w:val="24"/>
        </w:rPr>
      </w:pPr>
      <w:r>
        <w:rPr>
          <w:rFonts w:ascii="Book Antiqua" w:hAnsi="Book Antiqua"/>
          <w:sz w:val="24"/>
        </w:rPr>
        <w:lastRenderedPageBreak/>
        <w:t xml:space="preserve">Written verification from Department of Human Services or any other governmental agency that can attest to the patient/responsible party’s income status for the prior 12 months </w:t>
      </w:r>
      <w:r w:rsidR="00C9168C">
        <w:rPr>
          <w:rFonts w:ascii="Book Antiqua" w:hAnsi="Book Antiqua"/>
          <w:sz w:val="24"/>
        </w:rPr>
        <w:t xml:space="preserve"> </w:t>
      </w:r>
    </w:p>
    <w:p w14:paraId="5B42E6C3" w14:textId="77777777" w:rsidR="00157FE5" w:rsidRDefault="0037617D" w:rsidP="00157FE5">
      <w:pPr>
        <w:numPr>
          <w:ilvl w:val="0"/>
          <w:numId w:val="16"/>
        </w:numPr>
        <w:rPr>
          <w:rFonts w:ascii="Book Antiqua" w:hAnsi="Book Antiqua"/>
          <w:sz w:val="24"/>
        </w:rPr>
      </w:pPr>
      <w:r>
        <w:rPr>
          <w:rFonts w:ascii="Book Antiqua" w:hAnsi="Book Antiqua"/>
          <w:sz w:val="24"/>
        </w:rPr>
        <w:t>Statement verifying applicatio</w:t>
      </w:r>
      <w:r w:rsidR="00C9168C">
        <w:rPr>
          <w:rFonts w:ascii="Book Antiqua" w:hAnsi="Book Antiqua"/>
          <w:sz w:val="24"/>
        </w:rPr>
        <w:t>n for unemployment benefits</w:t>
      </w:r>
    </w:p>
    <w:p w14:paraId="16B3ACB3" w14:textId="763E9E11" w:rsidR="00C9168C" w:rsidRPr="00157FE5" w:rsidRDefault="00C9168C" w:rsidP="00157FE5">
      <w:pPr>
        <w:numPr>
          <w:ilvl w:val="0"/>
          <w:numId w:val="16"/>
        </w:numPr>
        <w:rPr>
          <w:rFonts w:ascii="Book Antiqua" w:hAnsi="Book Antiqua"/>
          <w:sz w:val="24"/>
        </w:rPr>
      </w:pPr>
      <w:r w:rsidRPr="00157FE5">
        <w:rPr>
          <w:rFonts w:ascii="Book Antiqua" w:hAnsi="Book Antiqua"/>
          <w:sz w:val="24"/>
        </w:rPr>
        <w:t>P</w:t>
      </w:r>
      <w:r w:rsidR="0037617D" w:rsidRPr="00157FE5">
        <w:rPr>
          <w:rFonts w:ascii="Book Antiqua" w:hAnsi="Book Antiqua"/>
          <w:sz w:val="24"/>
        </w:rPr>
        <w:t>roof of household expenses, if requ</w:t>
      </w:r>
      <w:r w:rsidR="009835AA" w:rsidRPr="00157FE5">
        <w:rPr>
          <w:rFonts w:ascii="Book Antiqua" w:hAnsi="Book Antiqua"/>
          <w:sz w:val="24"/>
        </w:rPr>
        <w:t>ested</w:t>
      </w:r>
    </w:p>
    <w:p w14:paraId="05F51637" w14:textId="53E53FD4" w:rsidR="00C9168C" w:rsidRDefault="00C9168C" w:rsidP="00C37439">
      <w:pPr>
        <w:numPr>
          <w:ilvl w:val="0"/>
          <w:numId w:val="16"/>
        </w:numPr>
        <w:rPr>
          <w:rFonts w:ascii="Book Antiqua" w:hAnsi="Book Antiqua"/>
          <w:sz w:val="24"/>
        </w:rPr>
      </w:pPr>
      <w:r>
        <w:rPr>
          <w:rFonts w:ascii="Book Antiqua" w:hAnsi="Book Antiqua"/>
          <w:sz w:val="24"/>
        </w:rPr>
        <w:t>Copies of liquid assets, including bank accounts, CD’s, investments (stocks, mutual funds, etc.) annuities and/or trust funds.</w:t>
      </w:r>
    </w:p>
    <w:p w14:paraId="1CCE7F3C" w14:textId="77777777" w:rsidR="00157FE5" w:rsidRDefault="00157FE5" w:rsidP="00157FE5">
      <w:pPr>
        <w:ind w:left="720"/>
        <w:rPr>
          <w:rFonts w:ascii="Book Antiqua" w:hAnsi="Book Antiqua"/>
          <w:sz w:val="24"/>
        </w:rPr>
      </w:pPr>
    </w:p>
    <w:p w14:paraId="6055BA9F" w14:textId="18733742" w:rsidR="00157FE5" w:rsidRPr="00157FE5" w:rsidRDefault="00157FE5" w:rsidP="00157FE5">
      <w:pPr>
        <w:pStyle w:val="Heading3"/>
        <w:ind w:left="0"/>
        <w:rPr>
          <w:b w:val="0"/>
          <w:i/>
          <w:u w:val="none"/>
        </w:rPr>
      </w:pPr>
      <w:r w:rsidRPr="00157FE5">
        <w:rPr>
          <w:b w:val="0"/>
          <w:i/>
        </w:rPr>
        <w:t xml:space="preserve">Required documentation may be waived as outlined in </w:t>
      </w:r>
      <w:r w:rsidR="0017412A" w:rsidRPr="0017412A">
        <w:rPr>
          <w:b w:val="0"/>
          <w:i/>
        </w:rPr>
        <w:t>sectio</w:t>
      </w:r>
      <w:r w:rsidR="0017412A">
        <w:rPr>
          <w:b w:val="0"/>
          <w:i/>
        </w:rPr>
        <w:t xml:space="preserve">n </w:t>
      </w:r>
      <w:r w:rsidR="0017412A">
        <w:rPr>
          <w:bCs w:val="0"/>
          <w:i/>
        </w:rPr>
        <w:t>“Uninsured Discounts”</w:t>
      </w:r>
    </w:p>
    <w:p w14:paraId="61135AFB" w14:textId="249D13EC" w:rsidR="00157FE5" w:rsidRDefault="00157FE5" w:rsidP="00157FE5">
      <w:pPr>
        <w:ind w:left="720"/>
        <w:rPr>
          <w:rFonts w:ascii="Book Antiqua" w:hAnsi="Book Antiqua"/>
          <w:sz w:val="24"/>
        </w:rPr>
      </w:pPr>
    </w:p>
    <w:p w14:paraId="13A28A68" w14:textId="6C55A927" w:rsidR="0037617D" w:rsidRPr="0017412A" w:rsidRDefault="00C9168C" w:rsidP="0017412A">
      <w:pPr>
        <w:ind w:firstLine="360"/>
        <w:rPr>
          <w:rFonts w:ascii="Book Antiqua" w:hAnsi="Book Antiqua"/>
          <w:bCs/>
          <w:sz w:val="24"/>
          <w:u w:val="single"/>
        </w:rPr>
      </w:pPr>
      <w:r w:rsidRPr="0017412A">
        <w:rPr>
          <w:rFonts w:ascii="Book Antiqua" w:hAnsi="Book Antiqua"/>
          <w:bCs/>
          <w:sz w:val="24"/>
          <w:u w:val="single"/>
        </w:rPr>
        <w:t>Levels of Approval</w:t>
      </w:r>
    </w:p>
    <w:p w14:paraId="5DA47572" w14:textId="77777777" w:rsidR="0037617D" w:rsidRDefault="0037617D">
      <w:pPr>
        <w:rPr>
          <w:rFonts w:ascii="Book Antiqua" w:hAnsi="Book Antiqua"/>
          <w:sz w:val="24"/>
        </w:rPr>
      </w:pPr>
    </w:p>
    <w:p w14:paraId="093A8310" w14:textId="77777777" w:rsidR="00C9168C" w:rsidRDefault="00C9168C" w:rsidP="00C37439">
      <w:pPr>
        <w:numPr>
          <w:ilvl w:val="0"/>
          <w:numId w:val="18"/>
        </w:numPr>
        <w:rPr>
          <w:rFonts w:ascii="Book Antiqua" w:hAnsi="Book Antiqua"/>
          <w:sz w:val="24"/>
        </w:rPr>
      </w:pPr>
      <w:r>
        <w:rPr>
          <w:rFonts w:ascii="Book Antiqua" w:hAnsi="Book Antiqua"/>
          <w:sz w:val="24"/>
        </w:rPr>
        <w:t>FA write-off approval levels are as follows:</w:t>
      </w:r>
    </w:p>
    <w:p w14:paraId="24C2BED4" w14:textId="77777777" w:rsidR="00C9168C" w:rsidRDefault="00C9168C" w:rsidP="00C9168C">
      <w:pPr>
        <w:ind w:left="1440"/>
        <w:rPr>
          <w:rFonts w:ascii="Book Antiqua" w:hAnsi="Book Antiqua"/>
          <w:sz w:val="24"/>
        </w:rPr>
      </w:pPr>
    </w:p>
    <w:p w14:paraId="5E1F7F77" w14:textId="5E9708D5" w:rsidR="00C9168C" w:rsidRPr="00C37439" w:rsidRDefault="00C9168C" w:rsidP="00C37439">
      <w:pPr>
        <w:pStyle w:val="ListParagraph"/>
        <w:numPr>
          <w:ilvl w:val="2"/>
          <w:numId w:val="18"/>
        </w:numPr>
        <w:rPr>
          <w:rFonts w:ascii="Book Antiqua" w:hAnsi="Book Antiqua"/>
          <w:sz w:val="24"/>
        </w:rPr>
      </w:pPr>
      <w:r w:rsidRPr="00C37439">
        <w:rPr>
          <w:rFonts w:ascii="Book Antiqua" w:hAnsi="Book Antiqua"/>
          <w:sz w:val="24"/>
        </w:rPr>
        <w:t>Patient B</w:t>
      </w:r>
      <w:r w:rsidR="0057440F" w:rsidRPr="00C37439">
        <w:rPr>
          <w:rFonts w:ascii="Book Antiqua" w:hAnsi="Book Antiqua"/>
          <w:sz w:val="24"/>
        </w:rPr>
        <w:t xml:space="preserve">alances &lt; </w:t>
      </w:r>
      <w:r w:rsidR="003415A0" w:rsidRPr="00C37439">
        <w:rPr>
          <w:rFonts w:ascii="Book Antiqua" w:hAnsi="Book Antiqua"/>
          <w:sz w:val="24"/>
        </w:rPr>
        <w:t>$ 1,500</w:t>
      </w:r>
      <w:r w:rsidR="0057440F" w:rsidRPr="00C37439">
        <w:rPr>
          <w:rFonts w:ascii="Book Antiqua" w:hAnsi="Book Antiqua"/>
          <w:sz w:val="24"/>
        </w:rPr>
        <w:tab/>
      </w:r>
      <w:r w:rsidR="0057440F" w:rsidRPr="00C37439">
        <w:rPr>
          <w:rFonts w:ascii="Book Antiqua" w:hAnsi="Book Antiqua"/>
          <w:sz w:val="24"/>
        </w:rPr>
        <w:tab/>
      </w:r>
      <w:r w:rsidR="003415A0">
        <w:rPr>
          <w:rFonts w:ascii="Book Antiqua" w:hAnsi="Book Antiqua"/>
          <w:sz w:val="24"/>
        </w:rPr>
        <w:t>Financial Counselor</w:t>
      </w:r>
    </w:p>
    <w:p w14:paraId="7969D7C3" w14:textId="54FAE021" w:rsidR="00C9168C" w:rsidRDefault="00C9168C" w:rsidP="00C37439">
      <w:pPr>
        <w:pStyle w:val="ListParagraph"/>
        <w:numPr>
          <w:ilvl w:val="2"/>
          <w:numId w:val="18"/>
        </w:numPr>
        <w:rPr>
          <w:rFonts w:ascii="Book Antiqua" w:hAnsi="Book Antiqua"/>
          <w:sz w:val="24"/>
        </w:rPr>
      </w:pPr>
      <w:r w:rsidRPr="00C37439">
        <w:rPr>
          <w:rFonts w:ascii="Book Antiqua" w:hAnsi="Book Antiqua"/>
          <w:sz w:val="24"/>
        </w:rPr>
        <w:t xml:space="preserve">Patient Balances </w:t>
      </w:r>
      <w:r w:rsidR="00B82060" w:rsidRPr="00C37439">
        <w:rPr>
          <w:rFonts w:ascii="Book Antiqua" w:hAnsi="Book Antiqua"/>
          <w:sz w:val="24"/>
        </w:rPr>
        <w:t>&lt;</w:t>
      </w:r>
      <w:r w:rsidRPr="00C37439">
        <w:rPr>
          <w:rFonts w:ascii="Book Antiqua" w:hAnsi="Book Antiqua"/>
          <w:sz w:val="24"/>
        </w:rPr>
        <w:t xml:space="preserve"> </w:t>
      </w:r>
      <w:r w:rsidR="00E7484F" w:rsidRPr="00C37439">
        <w:rPr>
          <w:rFonts w:ascii="Book Antiqua" w:hAnsi="Book Antiqua"/>
          <w:sz w:val="24"/>
        </w:rPr>
        <w:t xml:space="preserve">$ </w:t>
      </w:r>
      <w:r w:rsidR="003415A0">
        <w:rPr>
          <w:rFonts w:ascii="Book Antiqua" w:hAnsi="Book Antiqua"/>
          <w:sz w:val="24"/>
        </w:rPr>
        <w:t>3</w:t>
      </w:r>
      <w:r w:rsidR="00E7484F" w:rsidRPr="00C37439">
        <w:rPr>
          <w:rFonts w:ascii="Book Antiqua" w:hAnsi="Book Antiqua"/>
          <w:sz w:val="24"/>
        </w:rPr>
        <w:t>,000</w:t>
      </w:r>
      <w:r w:rsidRPr="00C37439">
        <w:rPr>
          <w:rFonts w:ascii="Book Antiqua" w:hAnsi="Book Antiqua"/>
          <w:sz w:val="24"/>
        </w:rPr>
        <w:tab/>
      </w:r>
      <w:r w:rsidRPr="00C37439">
        <w:rPr>
          <w:rFonts w:ascii="Book Antiqua" w:hAnsi="Book Antiqua"/>
          <w:sz w:val="24"/>
        </w:rPr>
        <w:tab/>
        <w:t>Exec</w:t>
      </w:r>
      <w:r w:rsidR="003415A0">
        <w:rPr>
          <w:rFonts w:ascii="Book Antiqua" w:hAnsi="Book Antiqua"/>
          <w:sz w:val="24"/>
        </w:rPr>
        <w:t>utive Director</w:t>
      </w:r>
    </w:p>
    <w:p w14:paraId="00610127" w14:textId="303CFCCC" w:rsidR="003415A0" w:rsidRPr="003415A0" w:rsidRDefault="003415A0" w:rsidP="003415A0">
      <w:pPr>
        <w:ind w:left="5040" w:firstLine="720"/>
        <w:rPr>
          <w:rFonts w:ascii="Book Antiqua" w:hAnsi="Book Antiqua"/>
          <w:sz w:val="24"/>
        </w:rPr>
      </w:pPr>
      <w:r>
        <w:rPr>
          <w:rFonts w:ascii="Book Antiqua" w:hAnsi="Book Antiqua"/>
          <w:sz w:val="24"/>
        </w:rPr>
        <w:t>Revenue Cycle</w:t>
      </w:r>
    </w:p>
    <w:p w14:paraId="6C874461" w14:textId="21ED4C9B" w:rsidR="0037617D" w:rsidRPr="00C37439" w:rsidRDefault="00C9168C" w:rsidP="00C37439">
      <w:pPr>
        <w:pStyle w:val="ListParagraph"/>
        <w:numPr>
          <w:ilvl w:val="2"/>
          <w:numId w:val="18"/>
        </w:numPr>
        <w:rPr>
          <w:rFonts w:ascii="Book Antiqua" w:hAnsi="Book Antiqua"/>
          <w:sz w:val="24"/>
        </w:rPr>
      </w:pPr>
      <w:r w:rsidRPr="00C37439">
        <w:rPr>
          <w:rFonts w:ascii="Book Antiqua" w:hAnsi="Book Antiqua"/>
          <w:sz w:val="24"/>
        </w:rPr>
        <w:t xml:space="preserve">Patient Balances &gt; </w:t>
      </w:r>
      <w:r w:rsidR="00E7484F" w:rsidRPr="00C37439">
        <w:rPr>
          <w:rFonts w:ascii="Book Antiqua" w:hAnsi="Book Antiqua"/>
          <w:sz w:val="24"/>
        </w:rPr>
        <w:t xml:space="preserve">$ </w:t>
      </w:r>
      <w:r w:rsidR="003415A0">
        <w:rPr>
          <w:rFonts w:ascii="Book Antiqua" w:hAnsi="Book Antiqua"/>
          <w:sz w:val="24"/>
        </w:rPr>
        <w:t>3</w:t>
      </w:r>
      <w:r w:rsidR="00E7484F" w:rsidRPr="00C37439">
        <w:rPr>
          <w:rFonts w:ascii="Book Antiqua" w:hAnsi="Book Antiqua"/>
          <w:sz w:val="24"/>
        </w:rPr>
        <w:t>,00</w:t>
      </w:r>
      <w:r w:rsidR="003415A0">
        <w:rPr>
          <w:rFonts w:ascii="Book Antiqua" w:hAnsi="Book Antiqua"/>
          <w:sz w:val="24"/>
        </w:rPr>
        <w:t>1 +</w:t>
      </w:r>
      <w:r w:rsidRPr="00C37439">
        <w:rPr>
          <w:rFonts w:ascii="Book Antiqua" w:hAnsi="Book Antiqua"/>
          <w:sz w:val="24"/>
        </w:rPr>
        <w:tab/>
      </w:r>
      <w:r w:rsidR="00B82060" w:rsidRPr="00C37439">
        <w:rPr>
          <w:rFonts w:ascii="Book Antiqua" w:hAnsi="Book Antiqua"/>
          <w:sz w:val="24"/>
        </w:rPr>
        <w:t>CF</w:t>
      </w:r>
      <w:r w:rsidR="003415A0">
        <w:rPr>
          <w:rFonts w:ascii="Book Antiqua" w:hAnsi="Book Antiqua"/>
          <w:sz w:val="24"/>
        </w:rPr>
        <w:t>O</w:t>
      </w:r>
    </w:p>
    <w:p w14:paraId="1C5736D9" w14:textId="77777777" w:rsidR="0037617D" w:rsidRDefault="0037617D">
      <w:pPr>
        <w:rPr>
          <w:rFonts w:ascii="Book Antiqua" w:hAnsi="Book Antiqua"/>
          <w:sz w:val="24"/>
        </w:rPr>
      </w:pPr>
    </w:p>
    <w:p w14:paraId="58DFF52D" w14:textId="3D7CFA97" w:rsidR="0037617D" w:rsidRPr="00C37439" w:rsidRDefault="0037617D" w:rsidP="00C37439">
      <w:pPr>
        <w:pStyle w:val="ListParagraph"/>
        <w:numPr>
          <w:ilvl w:val="0"/>
          <w:numId w:val="18"/>
        </w:numPr>
        <w:rPr>
          <w:rFonts w:ascii="Book Antiqua" w:hAnsi="Book Antiqua"/>
          <w:sz w:val="24"/>
        </w:rPr>
      </w:pPr>
      <w:r w:rsidRPr="00C37439">
        <w:rPr>
          <w:rFonts w:ascii="Book Antiqua" w:hAnsi="Book Antiqua"/>
          <w:sz w:val="24"/>
        </w:rPr>
        <w:t xml:space="preserve">An approval determination will be made as soon as possible after a completed application and all supporting documentation has been received and reviewed.  </w:t>
      </w:r>
    </w:p>
    <w:p w14:paraId="22CDB117" w14:textId="77777777" w:rsidR="0037617D" w:rsidRDefault="0037617D">
      <w:pPr>
        <w:rPr>
          <w:rFonts w:ascii="Book Antiqua" w:hAnsi="Book Antiqua"/>
          <w:sz w:val="24"/>
        </w:rPr>
      </w:pPr>
    </w:p>
    <w:p w14:paraId="480F8EDB" w14:textId="65C2ECFF" w:rsidR="0037617D" w:rsidRDefault="0037617D" w:rsidP="00C37439">
      <w:pPr>
        <w:pStyle w:val="ListParagraph"/>
        <w:numPr>
          <w:ilvl w:val="0"/>
          <w:numId w:val="18"/>
        </w:numPr>
        <w:rPr>
          <w:rFonts w:ascii="Book Antiqua" w:hAnsi="Book Antiqua"/>
          <w:sz w:val="24"/>
        </w:rPr>
      </w:pPr>
      <w:r w:rsidRPr="00C37439">
        <w:rPr>
          <w:rFonts w:ascii="Book Antiqua" w:hAnsi="Book Antiqua"/>
          <w:sz w:val="24"/>
        </w:rPr>
        <w:t>Patients and / or responsible parties will be notified</w:t>
      </w:r>
      <w:r w:rsidR="006E0208" w:rsidRPr="00C37439">
        <w:rPr>
          <w:rFonts w:ascii="Book Antiqua" w:hAnsi="Book Antiqua"/>
          <w:sz w:val="24"/>
        </w:rPr>
        <w:t>, within thirty (30) days,</w:t>
      </w:r>
      <w:r w:rsidRPr="00C37439">
        <w:rPr>
          <w:rFonts w:ascii="Book Antiqua" w:hAnsi="Book Antiqua"/>
          <w:sz w:val="24"/>
        </w:rPr>
        <w:t xml:space="preserve"> in the form of a written letter the determination of the application regardless of approval or denial status.</w:t>
      </w:r>
    </w:p>
    <w:p w14:paraId="75C2F9ED" w14:textId="77777777" w:rsidR="00EC445A" w:rsidRPr="00EC445A" w:rsidRDefault="00EC445A" w:rsidP="00EC445A">
      <w:pPr>
        <w:pStyle w:val="ListParagraph"/>
        <w:rPr>
          <w:rFonts w:ascii="Book Antiqua" w:hAnsi="Book Antiqua"/>
          <w:sz w:val="24"/>
        </w:rPr>
      </w:pPr>
    </w:p>
    <w:p w14:paraId="020ADCBD" w14:textId="4BEB4716" w:rsidR="00EC445A" w:rsidRDefault="00EC445A" w:rsidP="00C37439">
      <w:pPr>
        <w:pStyle w:val="ListParagraph"/>
        <w:numPr>
          <w:ilvl w:val="0"/>
          <w:numId w:val="18"/>
        </w:numPr>
        <w:rPr>
          <w:rFonts w:ascii="Book Antiqua" w:hAnsi="Book Antiqua"/>
          <w:sz w:val="24"/>
        </w:rPr>
      </w:pPr>
      <w:r>
        <w:rPr>
          <w:rFonts w:ascii="Book Antiqua" w:hAnsi="Book Antiqua"/>
          <w:sz w:val="24"/>
        </w:rPr>
        <w:t xml:space="preserve">Patients who do not meet the requirements for Financial Assistance will </w:t>
      </w:r>
      <w:r w:rsidR="00580E2B">
        <w:rPr>
          <w:rFonts w:ascii="Book Antiqua" w:hAnsi="Book Antiqua"/>
          <w:sz w:val="24"/>
        </w:rPr>
        <w:t>continue in the Self-Pay collection stream to include:</w:t>
      </w:r>
    </w:p>
    <w:p w14:paraId="1F03FDAA" w14:textId="77777777" w:rsidR="00580E2B" w:rsidRPr="00580E2B" w:rsidRDefault="00580E2B" w:rsidP="00580E2B">
      <w:pPr>
        <w:pStyle w:val="ListParagraph"/>
        <w:rPr>
          <w:rFonts w:ascii="Book Antiqua" w:hAnsi="Book Antiqua"/>
          <w:sz w:val="24"/>
        </w:rPr>
      </w:pPr>
    </w:p>
    <w:p w14:paraId="1C12F9C0" w14:textId="290E5761" w:rsidR="00580E2B" w:rsidRDefault="00580E2B" w:rsidP="00580E2B">
      <w:pPr>
        <w:pStyle w:val="ListParagraph"/>
        <w:numPr>
          <w:ilvl w:val="1"/>
          <w:numId w:val="18"/>
        </w:numPr>
        <w:rPr>
          <w:rFonts w:ascii="Book Antiqua" w:hAnsi="Book Antiqua"/>
          <w:sz w:val="24"/>
        </w:rPr>
      </w:pPr>
      <w:r>
        <w:rPr>
          <w:rFonts w:ascii="Book Antiqua" w:hAnsi="Book Antiqua"/>
          <w:sz w:val="24"/>
        </w:rPr>
        <w:t>Referral to an Early Out Agency</w:t>
      </w:r>
    </w:p>
    <w:p w14:paraId="263AE8F4" w14:textId="1DC24D94" w:rsidR="00D8338B" w:rsidRDefault="00D8338B" w:rsidP="00D8338B">
      <w:pPr>
        <w:pStyle w:val="ListParagraph"/>
        <w:numPr>
          <w:ilvl w:val="2"/>
          <w:numId w:val="18"/>
        </w:numPr>
        <w:rPr>
          <w:rFonts w:ascii="Book Antiqua" w:hAnsi="Book Antiqua"/>
          <w:sz w:val="24"/>
        </w:rPr>
      </w:pPr>
      <w:r>
        <w:rPr>
          <w:rFonts w:ascii="Book Antiqua" w:hAnsi="Book Antiqua"/>
          <w:sz w:val="24"/>
        </w:rPr>
        <w:t>Payment arrangements will be established</w:t>
      </w:r>
    </w:p>
    <w:p w14:paraId="4226DDB0" w14:textId="1B644426" w:rsidR="00D8338B" w:rsidRDefault="00D8338B" w:rsidP="00D8338B">
      <w:pPr>
        <w:pStyle w:val="ListParagraph"/>
        <w:numPr>
          <w:ilvl w:val="3"/>
          <w:numId w:val="18"/>
        </w:numPr>
        <w:rPr>
          <w:rFonts w:ascii="Book Antiqua" w:hAnsi="Book Antiqua"/>
          <w:sz w:val="24"/>
        </w:rPr>
      </w:pPr>
      <w:r>
        <w:rPr>
          <w:rFonts w:ascii="Book Antiqua" w:hAnsi="Book Antiqua"/>
          <w:sz w:val="24"/>
        </w:rPr>
        <w:t xml:space="preserve">Reminders from the EOA </w:t>
      </w:r>
    </w:p>
    <w:p w14:paraId="3B092A64" w14:textId="70971382" w:rsidR="00580E2B" w:rsidRDefault="00580E2B" w:rsidP="00D8338B">
      <w:pPr>
        <w:pStyle w:val="ListParagraph"/>
        <w:numPr>
          <w:ilvl w:val="1"/>
          <w:numId w:val="18"/>
        </w:numPr>
        <w:rPr>
          <w:rFonts w:ascii="Book Antiqua" w:hAnsi="Book Antiqua"/>
          <w:sz w:val="24"/>
        </w:rPr>
      </w:pPr>
      <w:r>
        <w:rPr>
          <w:rFonts w:ascii="Book Antiqua" w:hAnsi="Book Antiqua"/>
          <w:sz w:val="24"/>
        </w:rPr>
        <w:t xml:space="preserve">Statements from the RGH </w:t>
      </w:r>
      <w:r w:rsidR="00D8338B">
        <w:rPr>
          <w:rFonts w:ascii="Book Antiqua" w:hAnsi="Book Antiqua"/>
          <w:sz w:val="24"/>
        </w:rPr>
        <w:t>Billing System (Meditech Expanse)</w:t>
      </w:r>
    </w:p>
    <w:p w14:paraId="6ED45AC9" w14:textId="6D6050E9" w:rsidR="00D8338B" w:rsidRDefault="00D8338B" w:rsidP="00D8338B">
      <w:pPr>
        <w:pStyle w:val="ListParagraph"/>
        <w:numPr>
          <w:ilvl w:val="1"/>
          <w:numId w:val="18"/>
        </w:numPr>
        <w:rPr>
          <w:rFonts w:ascii="Book Antiqua" w:hAnsi="Book Antiqua"/>
          <w:sz w:val="24"/>
        </w:rPr>
      </w:pPr>
      <w:r>
        <w:rPr>
          <w:rFonts w:ascii="Book Antiqua" w:hAnsi="Book Antiqua"/>
          <w:sz w:val="24"/>
        </w:rPr>
        <w:t>If no official payment arrangement is established the account will be referred to our full debt agency for processing after 120 days.</w:t>
      </w:r>
    </w:p>
    <w:p w14:paraId="230CDB3B" w14:textId="0BC64194" w:rsidR="00D8338B" w:rsidRDefault="00D8338B" w:rsidP="00D8338B">
      <w:pPr>
        <w:pStyle w:val="ListParagraph"/>
        <w:numPr>
          <w:ilvl w:val="2"/>
          <w:numId w:val="18"/>
        </w:numPr>
        <w:rPr>
          <w:rFonts w:ascii="Book Antiqua" w:hAnsi="Book Antiqua"/>
          <w:sz w:val="24"/>
        </w:rPr>
      </w:pPr>
      <w:r>
        <w:rPr>
          <w:rFonts w:ascii="Book Antiqua" w:hAnsi="Book Antiqua"/>
          <w:sz w:val="24"/>
        </w:rPr>
        <w:t>The full debt agency will continue to attempt collection for an additional 120 days.</w:t>
      </w:r>
    </w:p>
    <w:p w14:paraId="78DADB93" w14:textId="5C8B44D3" w:rsidR="00D8338B" w:rsidRPr="00D8338B" w:rsidRDefault="00D8338B" w:rsidP="00D8338B">
      <w:pPr>
        <w:pStyle w:val="ListParagraph"/>
        <w:numPr>
          <w:ilvl w:val="2"/>
          <w:numId w:val="18"/>
        </w:numPr>
        <w:rPr>
          <w:rFonts w:ascii="Book Antiqua" w:hAnsi="Book Antiqua"/>
          <w:sz w:val="24"/>
        </w:rPr>
      </w:pPr>
      <w:r>
        <w:rPr>
          <w:rFonts w:ascii="Book Antiqua" w:hAnsi="Book Antiqua"/>
          <w:sz w:val="24"/>
        </w:rPr>
        <w:t>No extra-ordinary collection actions will be taken.</w:t>
      </w:r>
    </w:p>
    <w:p w14:paraId="17E836B0" w14:textId="77777777" w:rsidR="0037617D" w:rsidRDefault="0037617D">
      <w:pPr>
        <w:ind w:left="720"/>
        <w:rPr>
          <w:rFonts w:ascii="Book Antiqua" w:hAnsi="Book Antiqua"/>
          <w:sz w:val="24"/>
        </w:rPr>
      </w:pPr>
      <w:r>
        <w:rPr>
          <w:rFonts w:ascii="Book Antiqua" w:hAnsi="Book Antiqua"/>
          <w:sz w:val="24"/>
        </w:rPr>
        <w:tab/>
      </w:r>
    </w:p>
    <w:p w14:paraId="52FB5C59" w14:textId="77777777" w:rsidR="00ED36C5" w:rsidRDefault="00ED36C5" w:rsidP="006A79F3">
      <w:pPr>
        <w:pStyle w:val="Heading3"/>
        <w:ind w:left="0"/>
      </w:pPr>
      <w:bookmarkStart w:id="1" w:name="_Hlk535511511"/>
    </w:p>
    <w:p w14:paraId="4B131F07" w14:textId="77777777" w:rsidR="00ED36C5" w:rsidRDefault="00ED36C5" w:rsidP="006A79F3">
      <w:pPr>
        <w:pStyle w:val="Heading3"/>
        <w:ind w:left="0"/>
      </w:pPr>
    </w:p>
    <w:p w14:paraId="4286AA38" w14:textId="2583C46C" w:rsidR="0037617D" w:rsidRPr="0017412A" w:rsidRDefault="0037617D" w:rsidP="006A79F3">
      <w:pPr>
        <w:pStyle w:val="Heading3"/>
        <w:ind w:left="0"/>
      </w:pPr>
      <w:r w:rsidRPr="0017412A">
        <w:t>Uninsured Discounts</w:t>
      </w:r>
    </w:p>
    <w:bookmarkEnd w:id="1"/>
    <w:p w14:paraId="433D0D98" w14:textId="77777777" w:rsidR="0037617D" w:rsidRDefault="0037617D">
      <w:pPr>
        <w:ind w:left="720"/>
        <w:rPr>
          <w:rFonts w:ascii="Book Antiqua" w:hAnsi="Book Antiqua"/>
          <w:b/>
          <w:bCs/>
          <w:sz w:val="24"/>
          <w:u w:val="single"/>
        </w:rPr>
      </w:pPr>
    </w:p>
    <w:p w14:paraId="183F6599" w14:textId="77777777" w:rsidR="0037617D" w:rsidRDefault="0037617D">
      <w:pPr>
        <w:pStyle w:val="BodyTextIndent3"/>
      </w:pPr>
      <w:r>
        <w:t xml:space="preserve">If </w:t>
      </w:r>
      <w:r w:rsidR="006E0208">
        <w:t>the FA</w:t>
      </w:r>
      <w:r>
        <w:t xml:space="preserve"> determination is </w:t>
      </w:r>
      <w:r w:rsidR="006E0208">
        <w:t>a denial,</w:t>
      </w:r>
      <w:r>
        <w:t xml:space="preserve"> a discount from charges </w:t>
      </w:r>
      <w:r w:rsidR="00B82060" w:rsidRPr="009546C6">
        <w:t>may</w:t>
      </w:r>
      <w:r>
        <w:t xml:space="preserve"> be given.  All uninsured discounts will be taken at time of billing.</w:t>
      </w:r>
    </w:p>
    <w:p w14:paraId="53296F34" w14:textId="77777777" w:rsidR="008A5384" w:rsidRDefault="008A5384">
      <w:pPr>
        <w:pStyle w:val="BodyTextIndent3"/>
      </w:pPr>
    </w:p>
    <w:p w14:paraId="779C08CF" w14:textId="6D935BE9" w:rsidR="009835AA" w:rsidRDefault="008A5384" w:rsidP="00C37439">
      <w:pPr>
        <w:pStyle w:val="BodyTextIndent3"/>
        <w:numPr>
          <w:ilvl w:val="0"/>
          <w:numId w:val="18"/>
        </w:numPr>
      </w:pPr>
      <w:r>
        <w:t>Catastrophic Events, Deceased Patient and Bankruptcies</w:t>
      </w:r>
    </w:p>
    <w:p w14:paraId="380AF51F" w14:textId="77777777" w:rsidR="009835AA" w:rsidRDefault="009835AA" w:rsidP="00EE6662">
      <w:pPr>
        <w:pStyle w:val="BodyTextIndent3"/>
        <w:ind w:hanging="720"/>
      </w:pPr>
    </w:p>
    <w:p w14:paraId="176A6CEC" w14:textId="77777777" w:rsidR="008A5384" w:rsidRDefault="008A5384" w:rsidP="00C37439">
      <w:pPr>
        <w:pStyle w:val="BodyTextIndent3"/>
        <w:numPr>
          <w:ilvl w:val="0"/>
          <w:numId w:val="18"/>
        </w:numPr>
      </w:pPr>
      <w:r>
        <w:t>FA will be considered for hardship cases that involve, but are not limited to:</w:t>
      </w:r>
    </w:p>
    <w:p w14:paraId="68E15839" w14:textId="77777777" w:rsidR="008A5384" w:rsidRDefault="008A5384" w:rsidP="00157FE5">
      <w:pPr>
        <w:pStyle w:val="BodyTextIndent3"/>
        <w:numPr>
          <w:ilvl w:val="1"/>
          <w:numId w:val="18"/>
        </w:numPr>
      </w:pPr>
      <w:r>
        <w:t>Extraordinary medical bills, expenses etc</w:t>
      </w:r>
      <w:r w:rsidR="009835AA">
        <w:t>.</w:t>
      </w:r>
      <w:r>
        <w:t xml:space="preserve"> – Such case</w:t>
      </w:r>
      <w:r w:rsidR="009835AA">
        <w:t>s</w:t>
      </w:r>
      <w:r>
        <w:t xml:space="preserve"> must be approved by the VP of Finance</w:t>
      </w:r>
    </w:p>
    <w:p w14:paraId="28026F48" w14:textId="2FB3C393" w:rsidR="008A5384" w:rsidRDefault="008A5384" w:rsidP="00157FE5">
      <w:pPr>
        <w:pStyle w:val="BodyTextIndent3"/>
        <w:numPr>
          <w:ilvl w:val="1"/>
          <w:numId w:val="18"/>
        </w:numPr>
      </w:pPr>
      <w:r>
        <w:t xml:space="preserve">Deceased </w:t>
      </w:r>
      <w:r w:rsidR="00E7484F">
        <w:t>patients</w:t>
      </w:r>
      <w:r>
        <w:t xml:space="preserve"> with no means of payment</w:t>
      </w:r>
    </w:p>
    <w:p w14:paraId="1A1BE4AD" w14:textId="44B2441E" w:rsidR="00F1638B" w:rsidRDefault="008A5384" w:rsidP="00157FE5">
      <w:pPr>
        <w:pStyle w:val="BodyTextIndent3"/>
        <w:numPr>
          <w:ilvl w:val="1"/>
          <w:numId w:val="18"/>
        </w:numPr>
      </w:pPr>
      <w:r>
        <w:t>Notices of bankruptcy</w:t>
      </w:r>
    </w:p>
    <w:p w14:paraId="05EC0DDE" w14:textId="607A4398" w:rsidR="00F1638B" w:rsidRDefault="00F1638B" w:rsidP="00F1638B">
      <w:pPr>
        <w:pStyle w:val="BodyTextIndent3"/>
        <w:ind w:left="0"/>
      </w:pPr>
    </w:p>
    <w:p w14:paraId="4D800924" w14:textId="198F6EDC" w:rsidR="00F1638B" w:rsidRDefault="00F1638B" w:rsidP="00F1638B">
      <w:pPr>
        <w:pStyle w:val="BodyTextIndent3"/>
        <w:ind w:left="0"/>
      </w:pPr>
      <w:r>
        <w:t>Following approval of Financial Assistance, an eligible individual may not be charged more than amounts generally billed for emergency or other medically necessary care.</w:t>
      </w:r>
    </w:p>
    <w:p w14:paraId="2E9CA751" w14:textId="4ACBAD82" w:rsidR="00C37439" w:rsidRDefault="00C37439" w:rsidP="00F1638B">
      <w:pPr>
        <w:pStyle w:val="BodyTextIndent3"/>
        <w:ind w:left="0"/>
      </w:pPr>
    </w:p>
    <w:p w14:paraId="23ACA54F" w14:textId="712D1AB8" w:rsidR="00F1638B" w:rsidRDefault="00C37439" w:rsidP="003415A0">
      <w:pPr>
        <w:pStyle w:val="BodyTextIndent"/>
        <w:ind w:left="0"/>
      </w:pPr>
      <w:r>
        <w:rPr>
          <w:rFonts w:ascii="Book Antiqua" w:hAnsi="Book Antiqua"/>
          <w:sz w:val="24"/>
        </w:rPr>
        <w:t>Roane General Hospital does not use extra-ordinary collection actions.</w:t>
      </w:r>
    </w:p>
    <w:p w14:paraId="2C50CE14" w14:textId="77777777" w:rsidR="00F1638B" w:rsidRDefault="00F1638B" w:rsidP="00F1638B">
      <w:pPr>
        <w:pStyle w:val="BodyTextIndent3"/>
      </w:pPr>
    </w:p>
    <w:p w14:paraId="57E816E4" w14:textId="658E9211" w:rsidR="00EE6662" w:rsidRDefault="00EE6662" w:rsidP="00EE6662">
      <w:pPr>
        <w:pStyle w:val="BodyTextIndent3"/>
        <w:ind w:left="0"/>
      </w:pPr>
      <w:r>
        <w:t>Related documents include:</w:t>
      </w:r>
    </w:p>
    <w:p w14:paraId="7DC310C0" w14:textId="77777777" w:rsidR="00EE6662" w:rsidRDefault="00EE6662" w:rsidP="00EE6662">
      <w:pPr>
        <w:pStyle w:val="BodyTextIndent3"/>
        <w:ind w:left="0"/>
      </w:pPr>
    </w:p>
    <w:p w14:paraId="3F66937B" w14:textId="77777777" w:rsidR="00EE6662" w:rsidRDefault="00EE6662" w:rsidP="003A4D59">
      <w:pPr>
        <w:pStyle w:val="BodyTextIndent3"/>
        <w:numPr>
          <w:ilvl w:val="1"/>
          <w:numId w:val="12"/>
        </w:numPr>
      </w:pPr>
      <w:r>
        <w:t>Financial Assistance Application</w:t>
      </w:r>
    </w:p>
    <w:p w14:paraId="481386CD" w14:textId="77777777" w:rsidR="00EE6662" w:rsidRDefault="00EE6662" w:rsidP="003A4D59">
      <w:pPr>
        <w:pStyle w:val="BodyTextIndent3"/>
        <w:numPr>
          <w:ilvl w:val="1"/>
          <w:numId w:val="12"/>
        </w:numPr>
      </w:pPr>
      <w:r>
        <w:t>Financial Assistance Approval Letter</w:t>
      </w:r>
    </w:p>
    <w:p w14:paraId="30274675" w14:textId="77777777" w:rsidR="00EE6662" w:rsidRDefault="00EE6662" w:rsidP="003A4D59">
      <w:pPr>
        <w:pStyle w:val="BodyTextIndent3"/>
        <w:numPr>
          <w:ilvl w:val="1"/>
          <w:numId w:val="12"/>
        </w:numPr>
      </w:pPr>
      <w:r>
        <w:t>Financial Assistance Denial Letter</w:t>
      </w:r>
    </w:p>
    <w:p w14:paraId="6DC6C421" w14:textId="2C189EFF" w:rsidR="0037617D" w:rsidRDefault="00EE6662" w:rsidP="0073023F">
      <w:pPr>
        <w:pStyle w:val="BodyTextIndent3"/>
        <w:numPr>
          <w:ilvl w:val="1"/>
          <w:numId w:val="12"/>
        </w:numPr>
        <w:ind w:left="720" w:firstLine="360"/>
      </w:pPr>
      <w:r>
        <w:t>Financial Assistance Income Guidelines Table</w:t>
      </w:r>
    </w:p>
    <w:p w14:paraId="63D70176" w14:textId="4A10259D" w:rsidR="00F1638B" w:rsidRDefault="00F1638B" w:rsidP="0073023F">
      <w:pPr>
        <w:pStyle w:val="BodyTextIndent3"/>
        <w:numPr>
          <w:ilvl w:val="1"/>
          <w:numId w:val="12"/>
        </w:numPr>
        <w:ind w:left="720" w:firstLine="360"/>
      </w:pPr>
      <w:r>
        <w:t>Financial Assistance Plain Language Summary</w:t>
      </w:r>
    </w:p>
    <w:p w14:paraId="305F940D" w14:textId="77777777" w:rsidR="00B6678B" w:rsidRDefault="00B6678B" w:rsidP="00B6678B">
      <w:pPr>
        <w:pStyle w:val="BodyTextIndent3"/>
        <w:ind w:left="1080"/>
      </w:pPr>
    </w:p>
    <w:p w14:paraId="40807ADD" w14:textId="1805AD75" w:rsidR="0017412A" w:rsidRDefault="00B6678B" w:rsidP="009756FB">
      <w:pPr>
        <w:pStyle w:val="BodyTextIndent3"/>
        <w:ind w:left="0"/>
      </w:pPr>
      <w:r>
        <w:t xml:space="preserve">Services Provided Outside of Roane General Facilities. The FA policy applies only to services provided at Roane General facilities, by Roane General providers. Even upon referral from a Roane General provider, all other services are ineligible for FA. Services provided at </w:t>
      </w:r>
      <w:r w:rsidR="00D8338B">
        <w:t>“</w:t>
      </w:r>
      <w:r w:rsidR="00D8338B">
        <w:rPr>
          <w:b/>
          <w:bCs/>
          <w:u w:val="single"/>
        </w:rPr>
        <w:t>N</w:t>
      </w:r>
      <w:r w:rsidRPr="00B6678B">
        <w:rPr>
          <w:b/>
          <w:bCs/>
          <w:u w:val="single"/>
        </w:rPr>
        <w:t>on-Roane General</w:t>
      </w:r>
      <w:r w:rsidR="00D8338B">
        <w:rPr>
          <w:b/>
          <w:bCs/>
          <w:u w:val="single"/>
        </w:rPr>
        <w:t>”</w:t>
      </w:r>
      <w:r>
        <w:t xml:space="preserve"> medical offices, urgent care facilities and emergency departments, as well as home health, hospice, recuperative care, and custodial care services, are excluded.</w:t>
      </w:r>
    </w:p>
    <w:p w14:paraId="54E7E3E1" w14:textId="77777777" w:rsidR="0017412A" w:rsidRDefault="0017412A" w:rsidP="009756FB">
      <w:pPr>
        <w:pStyle w:val="BodyTextIndent3"/>
        <w:ind w:left="0"/>
      </w:pPr>
    </w:p>
    <w:p w14:paraId="1F781937" w14:textId="77777777" w:rsidR="0017412A" w:rsidRDefault="0017412A" w:rsidP="009756FB">
      <w:pPr>
        <w:pStyle w:val="BodyTextIndent3"/>
        <w:ind w:left="0"/>
      </w:pPr>
    </w:p>
    <w:p w14:paraId="153D7CCC" w14:textId="77777777" w:rsidR="0017412A" w:rsidRDefault="0017412A" w:rsidP="009756FB">
      <w:pPr>
        <w:pStyle w:val="BodyTextIndent3"/>
        <w:ind w:left="0"/>
      </w:pPr>
    </w:p>
    <w:p w14:paraId="7EFF55BA" w14:textId="77777777" w:rsidR="0017412A" w:rsidRDefault="0017412A" w:rsidP="009756FB">
      <w:pPr>
        <w:pStyle w:val="BodyTextIndent3"/>
        <w:ind w:left="0"/>
      </w:pPr>
    </w:p>
    <w:p w14:paraId="75ABF4E1" w14:textId="77777777" w:rsidR="0017412A" w:rsidRDefault="0017412A" w:rsidP="009756FB">
      <w:pPr>
        <w:pStyle w:val="BodyTextIndent3"/>
        <w:ind w:left="0"/>
      </w:pPr>
    </w:p>
    <w:p w14:paraId="2AC67E85" w14:textId="77777777" w:rsidR="007D0AD3" w:rsidRDefault="007D0AD3" w:rsidP="009756FB">
      <w:pPr>
        <w:pStyle w:val="BodyTextIndent3"/>
        <w:ind w:left="0"/>
      </w:pPr>
    </w:p>
    <w:p w14:paraId="12852E34" w14:textId="77777777" w:rsidR="00ED36C5" w:rsidRDefault="00ED36C5" w:rsidP="009756FB">
      <w:pPr>
        <w:pStyle w:val="BodyTextIndent3"/>
        <w:ind w:left="0"/>
      </w:pPr>
    </w:p>
    <w:p w14:paraId="2C7A03CE" w14:textId="77777777" w:rsidR="00ED36C5" w:rsidRDefault="00ED36C5" w:rsidP="009756FB">
      <w:pPr>
        <w:pStyle w:val="BodyTextIndent3"/>
        <w:ind w:left="0"/>
      </w:pPr>
    </w:p>
    <w:p w14:paraId="307F1E02" w14:textId="77777777" w:rsidR="00ED36C5" w:rsidRDefault="00ED36C5" w:rsidP="009756FB">
      <w:pPr>
        <w:pStyle w:val="BodyTextIndent3"/>
        <w:ind w:left="0"/>
      </w:pPr>
    </w:p>
    <w:p w14:paraId="312BAC3B" w14:textId="77777777" w:rsidR="00ED36C5" w:rsidRDefault="00ED36C5" w:rsidP="009756FB">
      <w:pPr>
        <w:pStyle w:val="BodyTextIndent3"/>
        <w:ind w:left="0"/>
      </w:pPr>
    </w:p>
    <w:p w14:paraId="1F42478A" w14:textId="17AF0A52" w:rsidR="009756FB" w:rsidRDefault="009756FB" w:rsidP="009756FB">
      <w:pPr>
        <w:pStyle w:val="BodyTextIndent3"/>
        <w:ind w:left="0"/>
      </w:pPr>
      <w:r>
        <w:t>Listing of Providers included in the Roane General Hospital Financial Assistance Policy:</w:t>
      </w:r>
    </w:p>
    <w:p w14:paraId="025AFA8B" w14:textId="77777777" w:rsidR="00D8338B" w:rsidRDefault="00D8338B" w:rsidP="009756FB">
      <w:pPr>
        <w:pStyle w:val="BodyTextIndent3"/>
        <w:ind w:left="0"/>
        <w:rPr>
          <w:b/>
          <w:bCs/>
          <w:u w:val="single"/>
        </w:rPr>
      </w:pPr>
    </w:p>
    <w:p w14:paraId="6F9FF10B" w14:textId="460D2BED" w:rsidR="00B6678B" w:rsidRPr="00580E2B" w:rsidRDefault="00B6678B" w:rsidP="009756FB">
      <w:pPr>
        <w:pStyle w:val="BodyTextIndent3"/>
        <w:ind w:left="0"/>
        <w:rPr>
          <w:b/>
          <w:bCs/>
          <w:u w:val="single"/>
        </w:rPr>
      </w:pPr>
      <w:r w:rsidRPr="00580E2B">
        <w:rPr>
          <w:b/>
          <w:bCs/>
          <w:u w:val="single"/>
        </w:rPr>
        <w:t>Facilities:</w:t>
      </w:r>
    </w:p>
    <w:p w14:paraId="1257C799" w14:textId="2D960739" w:rsidR="00B6678B" w:rsidRDefault="00B6678B" w:rsidP="009756FB">
      <w:pPr>
        <w:pStyle w:val="BodyTextIndent3"/>
        <w:ind w:left="0"/>
      </w:pPr>
      <w:r>
        <w:t>Roane General Medical Clinic</w:t>
      </w:r>
    </w:p>
    <w:p w14:paraId="6C3E9DB1" w14:textId="5D5EC2EF" w:rsidR="00B6678B" w:rsidRDefault="00B6678B" w:rsidP="009756FB">
      <w:pPr>
        <w:pStyle w:val="BodyTextIndent3"/>
        <w:ind w:left="0"/>
      </w:pPr>
      <w:r>
        <w:t>Roane General Medical Associates</w:t>
      </w:r>
    </w:p>
    <w:p w14:paraId="17692F75" w14:textId="6922AEBC" w:rsidR="00B6678B" w:rsidRDefault="00B6678B" w:rsidP="009756FB">
      <w:pPr>
        <w:pStyle w:val="BodyTextIndent3"/>
        <w:ind w:left="0"/>
      </w:pPr>
      <w:r>
        <w:t>Southern Roane Medical Clinic</w:t>
      </w:r>
    </w:p>
    <w:p w14:paraId="7296487F" w14:textId="0ABA7137" w:rsidR="00B6678B" w:rsidRDefault="00B6678B" w:rsidP="009756FB">
      <w:pPr>
        <w:pStyle w:val="BodyTextIndent3"/>
        <w:ind w:left="0"/>
      </w:pPr>
      <w:r>
        <w:t>Walton Medical Clinic</w:t>
      </w:r>
    </w:p>
    <w:p w14:paraId="6D7F8463" w14:textId="5006C1C6" w:rsidR="009756FB" w:rsidRDefault="009756FB" w:rsidP="009756FB">
      <w:pPr>
        <w:pStyle w:val="BodyTextIndent3"/>
        <w:ind w:left="0"/>
      </w:pPr>
    </w:p>
    <w:p w14:paraId="1EC62D3C" w14:textId="3FAB8EEC" w:rsidR="00B6678B" w:rsidRPr="00580E2B" w:rsidRDefault="00B6678B" w:rsidP="009756FB">
      <w:pPr>
        <w:pStyle w:val="BodyTextIndent3"/>
        <w:ind w:left="0"/>
        <w:rPr>
          <w:b/>
          <w:bCs/>
          <w:u w:val="single"/>
        </w:rPr>
      </w:pPr>
      <w:r w:rsidRPr="00580E2B">
        <w:rPr>
          <w:b/>
          <w:bCs/>
          <w:u w:val="single"/>
        </w:rPr>
        <w:t>Roane General Providers:</w:t>
      </w:r>
    </w:p>
    <w:p w14:paraId="2E44B3DB" w14:textId="08C23DB6" w:rsidR="009756FB" w:rsidRDefault="009756FB" w:rsidP="009756FB">
      <w:pPr>
        <w:pStyle w:val="BodyTextIndent3"/>
        <w:ind w:left="0"/>
      </w:pPr>
      <w:r>
        <w:t>Grant Parkin, DO</w:t>
      </w:r>
    </w:p>
    <w:p w14:paraId="71A9692B" w14:textId="40E54257" w:rsidR="009756FB" w:rsidRDefault="009756FB" w:rsidP="009756FB">
      <w:pPr>
        <w:pStyle w:val="BodyTextIndent3"/>
        <w:ind w:left="0"/>
      </w:pPr>
      <w:r>
        <w:t>Maria Kessell, MD</w:t>
      </w:r>
    </w:p>
    <w:p w14:paraId="362ECD56" w14:textId="579E9B25" w:rsidR="009756FB" w:rsidRDefault="009756FB" w:rsidP="009756FB">
      <w:pPr>
        <w:pStyle w:val="BodyTextIndent3"/>
        <w:ind w:left="0"/>
      </w:pPr>
      <w:r>
        <w:t>Hong-King Ng, MD</w:t>
      </w:r>
    </w:p>
    <w:p w14:paraId="7AB2B9F9" w14:textId="218239A4" w:rsidR="009756FB" w:rsidRDefault="009756FB" w:rsidP="009756FB">
      <w:pPr>
        <w:pStyle w:val="BodyTextIndent3"/>
        <w:ind w:left="0"/>
      </w:pPr>
      <w:r>
        <w:t>Richard Bowman, MD</w:t>
      </w:r>
    </w:p>
    <w:p w14:paraId="1BEA195A" w14:textId="6578E4CE" w:rsidR="009756FB" w:rsidRDefault="009756FB" w:rsidP="009756FB">
      <w:pPr>
        <w:pStyle w:val="BodyTextIndent3"/>
        <w:ind w:left="0"/>
      </w:pPr>
      <w:r>
        <w:t>David Adkins, PA</w:t>
      </w:r>
    </w:p>
    <w:p w14:paraId="69EEA639" w14:textId="7D4BD8BF" w:rsidR="009756FB" w:rsidRDefault="009756FB" w:rsidP="009756FB">
      <w:pPr>
        <w:pStyle w:val="BodyTextIndent3"/>
        <w:ind w:left="0"/>
      </w:pPr>
      <w:r>
        <w:t>Brandon Cestaric, DO</w:t>
      </w:r>
    </w:p>
    <w:p w14:paraId="61C71736" w14:textId="5568E7A2" w:rsidR="009756FB" w:rsidRDefault="009756FB" w:rsidP="009756FB">
      <w:pPr>
        <w:pStyle w:val="BodyTextIndent3"/>
        <w:ind w:left="0"/>
      </w:pPr>
      <w:r>
        <w:t>Paul Clancy, MD</w:t>
      </w:r>
    </w:p>
    <w:p w14:paraId="348B12F6" w14:textId="4016C00F" w:rsidR="009756FB" w:rsidRDefault="009756FB" w:rsidP="009756FB">
      <w:pPr>
        <w:pStyle w:val="BodyTextIndent3"/>
        <w:ind w:left="0"/>
      </w:pPr>
      <w:r>
        <w:t>Scott Duffy, MD</w:t>
      </w:r>
    </w:p>
    <w:p w14:paraId="43D2DD09" w14:textId="60F77C69" w:rsidR="009756FB" w:rsidRDefault="009756FB" w:rsidP="009756FB">
      <w:pPr>
        <w:pStyle w:val="BodyTextIndent3"/>
        <w:ind w:left="0"/>
      </w:pPr>
      <w:r>
        <w:t>Keitina Donahue-Lunsford, DO</w:t>
      </w:r>
    </w:p>
    <w:p w14:paraId="116CBB63" w14:textId="1CBC1BDA" w:rsidR="009756FB" w:rsidRDefault="009756FB" w:rsidP="009756FB">
      <w:pPr>
        <w:pStyle w:val="BodyTextIndent3"/>
        <w:ind w:left="0"/>
      </w:pPr>
      <w:r>
        <w:t>Jason Fincham, DO</w:t>
      </w:r>
    </w:p>
    <w:p w14:paraId="77854BF0" w14:textId="4E36EEE8" w:rsidR="009756FB" w:rsidRDefault="009756FB" w:rsidP="009756FB">
      <w:pPr>
        <w:pStyle w:val="BodyTextIndent3"/>
        <w:ind w:left="0"/>
      </w:pPr>
      <w:r>
        <w:t>Jason Gessel, DO</w:t>
      </w:r>
    </w:p>
    <w:p w14:paraId="2C781BC4" w14:textId="72EA38D7" w:rsidR="009756FB" w:rsidRDefault="009756FB" w:rsidP="009756FB">
      <w:pPr>
        <w:pStyle w:val="BodyTextIndent3"/>
        <w:ind w:left="0"/>
      </w:pPr>
      <w:r>
        <w:t>Stephen Groves, MD</w:t>
      </w:r>
    </w:p>
    <w:p w14:paraId="1E938033" w14:textId="4478F05E" w:rsidR="009756FB" w:rsidRDefault="009756FB" w:rsidP="009756FB">
      <w:pPr>
        <w:pStyle w:val="BodyTextIndent3"/>
        <w:ind w:left="0"/>
      </w:pPr>
      <w:r>
        <w:t>Gregory Krivchenia, MD</w:t>
      </w:r>
    </w:p>
    <w:p w14:paraId="6EAA19EA" w14:textId="03B34698" w:rsidR="009756FB" w:rsidRDefault="009756FB" w:rsidP="009756FB">
      <w:pPr>
        <w:pStyle w:val="BodyTextIndent3"/>
        <w:ind w:left="0"/>
      </w:pPr>
      <w:r>
        <w:t>Christopher Lambert, MD</w:t>
      </w:r>
    </w:p>
    <w:p w14:paraId="3FDF93FD" w14:textId="0FA7DC69" w:rsidR="009756FB" w:rsidRDefault="009756FB" w:rsidP="009756FB">
      <w:pPr>
        <w:pStyle w:val="BodyTextIndent3"/>
        <w:ind w:left="0"/>
      </w:pPr>
      <w:r>
        <w:t>Niraj Mohan, MD</w:t>
      </w:r>
    </w:p>
    <w:p w14:paraId="35BF5B8C" w14:textId="3194CC04" w:rsidR="009756FB" w:rsidRDefault="009756FB" w:rsidP="009756FB">
      <w:pPr>
        <w:pStyle w:val="BodyTextIndent3"/>
        <w:ind w:left="0"/>
      </w:pPr>
      <w:r>
        <w:t>Melody Stonestreet, CRNA</w:t>
      </w:r>
    </w:p>
    <w:p w14:paraId="34637285" w14:textId="2C91583C" w:rsidR="009756FB" w:rsidRDefault="009756FB" w:rsidP="009756FB">
      <w:pPr>
        <w:pStyle w:val="BodyTextIndent3"/>
        <w:ind w:left="0"/>
      </w:pPr>
      <w:r>
        <w:t>Michelle Stotts, CRNA</w:t>
      </w:r>
    </w:p>
    <w:p w14:paraId="5EF2B137" w14:textId="1F1B3257" w:rsidR="009756FB" w:rsidRDefault="009756FB" w:rsidP="009756FB">
      <w:pPr>
        <w:pStyle w:val="BodyTextIndent3"/>
        <w:ind w:left="0"/>
      </w:pPr>
      <w:r>
        <w:t>Leann Thomas, NP</w:t>
      </w:r>
    </w:p>
    <w:p w14:paraId="728D8829" w14:textId="3822BD1B" w:rsidR="009756FB" w:rsidRDefault="009756FB" w:rsidP="009756FB">
      <w:pPr>
        <w:pStyle w:val="BodyTextIndent3"/>
        <w:ind w:left="0"/>
      </w:pPr>
      <w:r>
        <w:t>Brent Watson, MD</w:t>
      </w:r>
    </w:p>
    <w:p w14:paraId="2C2DCABC" w14:textId="3ED030C7" w:rsidR="009756FB" w:rsidRDefault="009756FB" w:rsidP="009756FB">
      <w:pPr>
        <w:pStyle w:val="BodyTextIndent3"/>
        <w:ind w:left="0"/>
      </w:pPr>
      <w:r>
        <w:t>Ginger Sims, NP</w:t>
      </w:r>
    </w:p>
    <w:p w14:paraId="53EC14CA" w14:textId="77BF1D35" w:rsidR="009756FB" w:rsidRDefault="009756FB" w:rsidP="009756FB">
      <w:pPr>
        <w:pStyle w:val="BodyTextIndent3"/>
        <w:ind w:left="0"/>
      </w:pPr>
      <w:r>
        <w:t>Wendy Beall, NP</w:t>
      </w:r>
    </w:p>
    <w:p w14:paraId="79D06A7E" w14:textId="4BD42DBA" w:rsidR="009756FB" w:rsidRDefault="009756FB" w:rsidP="009756FB">
      <w:pPr>
        <w:pStyle w:val="BodyTextIndent3"/>
        <w:ind w:left="0"/>
      </w:pPr>
      <w:r>
        <w:t>Kelly Smith, NP</w:t>
      </w:r>
    </w:p>
    <w:p w14:paraId="25EB066C" w14:textId="4892B2D4" w:rsidR="002B4A4D" w:rsidRDefault="002B4A4D" w:rsidP="009756FB">
      <w:pPr>
        <w:pStyle w:val="BodyTextIndent3"/>
        <w:ind w:left="0"/>
      </w:pPr>
      <w:r>
        <w:t>Brandon Rose, MD</w:t>
      </w:r>
    </w:p>
    <w:p w14:paraId="347F8BC0" w14:textId="5314C17D" w:rsidR="002B4A4D" w:rsidRDefault="002B4A4D" w:rsidP="009756FB">
      <w:pPr>
        <w:pStyle w:val="BodyTextIndent3"/>
        <w:ind w:left="0"/>
      </w:pPr>
      <w:r>
        <w:t>Katherine Tigas, MD</w:t>
      </w:r>
    </w:p>
    <w:p w14:paraId="5E4FC26F" w14:textId="692A6B6B" w:rsidR="002B4A4D" w:rsidRDefault="002B4A4D" w:rsidP="009756FB">
      <w:pPr>
        <w:pStyle w:val="BodyTextIndent3"/>
        <w:ind w:left="0"/>
      </w:pPr>
      <w:r>
        <w:t xml:space="preserve">Brandon </w:t>
      </w:r>
      <w:proofErr w:type="spellStart"/>
      <w:r>
        <w:t>Waskey</w:t>
      </w:r>
      <w:proofErr w:type="spellEnd"/>
      <w:r>
        <w:t>, NP</w:t>
      </w:r>
    </w:p>
    <w:p w14:paraId="1B67C5C2" w14:textId="3EE35C1D" w:rsidR="002B4A4D" w:rsidRDefault="002B4A4D" w:rsidP="009756FB">
      <w:pPr>
        <w:pStyle w:val="BodyTextIndent3"/>
        <w:ind w:left="0"/>
      </w:pPr>
      <w:r>
        <w:t xml:space="preserve">Lesley </w:t>
      </w:r>
      <w:proofErr w:type="spellStart"/>
      <w:r>
        <w:t>Waskey</w:t>
      </w:r>
      <w:proofErr w:type="spellEnd"/>
      <w:r>
        <w:t>, NP</w:t>
      </w:r>
    </w:p>
    <w:p w14:paraId="335189FF" w14:textId="0DE06026" w:rsidR="002B4A4D" w:rsidRDefault="002B4A4D" w:rsidP="009756FB">
      <w:pPr>
        <w:pStyle w:val="BodyTextIndent3"/>
        <w:ind w:left="0"/>
      </w:pPr>
      <w:r>
        <w:t>Jennifer Cox, NP</w:t>
      </w:r>
    </w:p>
    <w:p w14:paraId="73D54773" w14:textId="115E0EB3" w:rsidR="002B4A4D" w:rsidRDefault="002B4A4D" w:rsidP="009756FB">
      <w:pPr>
        <w:pStyle w:val="BodyTextIndent3"/>
        <w:ind w:left="0"/>
      </w:pPr>
      <w:r>
        <w:t>Connie Woodyard, CRNA</w:t>
      </w:r>
    </w:p>
    <w:p w14:paraId="318F14F4" w14:textId="0BBA0213" w:rsidR="002B4A4D" w:rsidRDefault="002B4A4D" w:rsidP="009756FB">
      <w:pPr>
        <w:pStyle w:val="BodyTextIndent3"/>
        <w:ind w:left="0"/>
      </w:pPr>
      <w:r>
        <w:t>Daniel Woodyard, CRNA</w:t>
      </w:r>
    </w:p>
    <w:p w14:paraId="2BD1A21A" w14:textId="24448D4C" w:rsidR="009756FB" w:rsidRDefault="009756FB" w:rsidP="009756FB">
      <w:pPr>
        <w:pStyle w:val="BodyTextIndent3"/>
        <w:ind w:left="0"/>
      </w:pPr>
    </w:p>
    <w:p w14:paraId="2AC8DB2A" w14:textId="77777777" w:rsidR="0017412A" w:rsidRDefault="0017412A" w:rsidP="009756FB">
      <w:pPr>
        <w:pStyle w:val="BodyTextIndent3"/>
        <w:ind w:left="0"/>
      </w:pPr>
    </w:p>
    <w:p w14:paraId="0CF4AB21" w14:textId="77777777" w:rsidR="0017412A" w:rsidRDefault="0017412A" w:rsidP="009756FB">
      <w:pPr>
        <w:pStyle w:val="BodyTextIndent3"/>
        <w:ind w:left="0"/>
      </w:pPr>
    </w:p>
    <w:p w14:paraId="74ED6BE1" w14:textId="768CA722" w:rsidR="009756FB" w:rsidRDefault="009756FB" w:rsidP="009756FB">
      <w:pPr>
        <w:pStyle w:val="BodyTextIndent3"/>
        <w:ind w:left="0"/>
      </w:pPr>
      <w:r>
        <w:t xml:space="preserve">Listing of Providers </w:t>
      </w:r>
      <w:r w:rsidRPr="00580E2B">
        <w:rPr>
          <w:b/>
          <w:bCs/>
          <w:u w:val="single"/>
        </w:rPr>
        <w:t>NOT</w:t>
      </w:r>
      <w:r w:rsidR="00580E2B">
        <w:t xml:space="preserve"> </w:t>
      </w:r>
      <w:r w:rsidRPr="00580E2B">
        <w:t>included</w:t>
      </w:r>
      <w:r>
        <w:t xml:space="preserve"> in the Roane General Hospital Financial Assistance Policy:</w:t>
      </w:r>
    </w:p>
    <w:p w14:paraId="031ECD37" w14:textId="4FB35D58" w:rsidR="009756FB" w:rsidRDefault="009756FB" w:rsidP="009756FB">
      <w:pPr>
        <w:pStyle w:val="BodyTextIndent3"/>
        <w:ind w:left="0"/>
      </w:pPr>
    </w:p>
    <w:p w14:paraId="49894254" w14:textId="1BB3B5C8" w:rsidR="00580E2B" w:rsidRPr="00580E2B" w:rsidRDefault="00580E2B" w:rsidP="009756FB">
      <w:pPr>
        <w:pStyle w:val="BodyTextIndent3"/>
        <w:ind w:left="0"/>
        <w:rPr>
          <w:b/>
          <w:bCs/>
          <w:u w:val="single"/>
        </w:rPr>
      </w:pPr>
      <w:r w:rsidRPr="00580E2B">
        <w:rPr>
          <w:b/>
          <w:bCs/>
          <w:u w:val="single"/>
        </w:rPr>
        <w:t>Physicians:</w:t>
      </w:r>
    </w:p>
    <w:p w14:paraId="2F10D2D0" w14:textId="282C60C6" w:rsidR="009756FB" w:rsidRDefault="002B4A4D" w:rsidP="009756FB">
      <w:pPr>
        <w:pStyle w:val="BodyTextIndent3"/>
        <w:ind w:left="0"/>
      </w:pPr>
      <w:r>
        <w:t>Jonathan Zuniga, MD</w:t>
      </w:r>
    </w:p>
    <w:p w14:paraId="4AE67EF4" w14:textId="2BEA0C07" w:rsidR="002B4A4D" w:rsidRDefault="002B4A4D" w:rsidP="009756FB">
      <w:pPr>
        <w:pStyle w:val="BodyTextIndent3"/>
        <w:ind w:left="0"/>
      </w:pPr>
      <w:proofErr w:type="spellStart"/>
      <w:r>
        <w:t>Anijlee</w:t>
      </w:r>
      <w:proofErr w:type="spellEnd"/>
      <w:r>
        <w:t xml:space="preserve"> Patel, MD</w:t>
      </w:r>
    </w:p>
    <w:p w14:paraId="1D75CDF3" w14:textId="041AB98E" w:rsidR="002B4A4D" w:rsidRDefault="002B4A4D" w:rsidP="009756FB">
      <w:pPr>
        <w:pStyle w:val="BodyTextIndent3"/>
        <w:ind w:left="0"/>
      </w:pPr>
      <w:r>
        <w:t>Kerri Donahue-Wood, MD</w:t>
      </w:r>
    </w:p>
    <w:p w14:paraId="7E1C91C1" w14:textId="77777777" w:rsidR="00580E2B" w:rsidRDefault="00580E2B" w:rsidP="00580E2B">
      <w:pPr>
        <w:rPr>
          <w:sz w:val="22"/>
          <w:szCs w:val="22"/>
        </w:rPr>
      </w:pPr>
      <w:r>
        <w:rPr>
          <w:sz w:val="22"/>
          <w:szCs w:val="22"/>
        </w:rPr>
        <w:t xml:space="preserve">Nikola </w:t>
      </w:r>
      <w:proofErr w:type="spellStart"/>
      <w:r>
        <w:rPr>
          <w:sz w:val="22"/>
          <w:szCs w:val="22"/>
        </w:rPr>
        <w:t>Bicak</w:t>
      </w:r>
      <w:proofErr w:type="spellEnd"/>
      <w:r>
        <w:rPr>
          <w:sz w:val="22"/>
          <w:szCs w:val="22"/>
        </w:rPr>
        <w:t>, DPM</w:t>
      </w:r>
    </w:p>
    <w:p w14:paraId="29109712" w14:textId="77777777" w:rsidR="00580E2B" w:rsidRDefault="00580E2B" w:rsidP="00580E2B">
      <w:pPr>
        <w:rPr>
          <w:sz w:val="22"/>
          <w:szCs w:val="22"/>
        </w:rPr>
      </w:pPr>
      <w:r>
        <w:rPr>
          <w:sz w:val="22"/>
          <w:szCs w:val="22"/>
        </w:rPr>
        <w:t>Eric Brannon, DDS</w:t>
      </w:r>
    </w:p>
    <w:p w14:paraId="7C804E0D" w14:textId="77777777" w:rsidR="00580E2B" w:rsidRDefault="00580E2B" w:rsidP="00580E2B">
      <w:pPr>
        <w:rPr>
          <w:sz w:val="22"/>
          <w:szCs w:val="22"/>
        </w:rPr>
      </w:pPr>
      <w:r>
        <w:rPr>
          <w:sz w:val="22"/>
          <w:szCs w:val="22"/>
        </w:rPr>
        <w:t>Randall Brannon, DDS</w:t>
      </w:r>
    </w:p>
    <w:p w14:paraId="613F319F" w14:textId="77777777" w:rsidR="00580E2B" w:rsidRDefault="00580E2B" w:rsidP="00580E2B">
      <w:pPr>
        <w:rPr>
          <w:sz w:val="22"/>
          <w:szCs w:val="22"/>
        </w:rPr>
      </w:pPr>
      <w:r>
        <w:rPr>
          <w:sz w:val="22"/>
          <w:szCs w:val="22"/>
        </w:rPr>
        <w:t>Regina Brannon, DDS</w:t>
      </w:r>
    </w:p>
    <w:p w14:paraId="505F85FD" w14:textId="77777777" w:rsidR="00580E2B" w:rsidRDefault="00580E2B" w:rsidP="00580E2B">
      <w:pPr>
        <w:rPr>
          <w:sz w:val="22"/>
          <w:szCs w:val="22"/>
        </w:rPr>
      </w:pPr>
      <w:r>
        <w:rPr>
          <w:sz w:val="22"/>
          <w:szCs w:val="22"/>
        </w:rPr>
        <w:t>Stephen Cassis, MD</w:t>
      </w:r>
    </w:p>
    <w:p w14:paraId="7BA423F5" w14:textId="77777777" w:rsidR="00580E2B" w:rsidRDefault="00580E2B" w:rsidP="00580E2B">
      <w:pPr>
        <w:rPr>
          <w:sz w:val="22"/>
          <w:szCs w:val="22"/>
        </w:rPr>
      </w:pPr>
      <w:r>
        <w:rPr>
          <w:sz w:val="22"/>
          <w:szCs w:val="22"/>
        </w:rPr>
        <w:t>Carroll Christiansen, MD</w:t>
      </w:r>
    </w:p>
    <w:p w14:paraId="5EA81DF0" w14:textId="12DBCED7" w:rsidR="002B4A4D" w:rsidRDefault="002B4A4D" w:rsidP="009756FB">
      <w:pPr>
        <w:pStyle w:val="BodyTextIndent3"/>
        <w:ind w:left="0"/>
      </w:pPr>
    </w:p>
    <w:p w14:paraId="72D15B24" w14:textId="67BC5F4E" w:rsidR="00D8338B" w:rsidRDefault="00D8338B" w:rsidP="009756FB">
      <w:pPr>
        <w:pStyle w:val="BodyTextIndent3"/>
        <w:ind w:left="0"/>
        <w:rPr>
          <w:b/>
          <w:bCs/>
          <w:u w:val="single"/>
        </w:rPr>
      </w:pPr>
      <w:r>
        <w:rPr>
          <w:b/>
          <w:bCs/>
          <w:u w:val="single"/>
        </w:rPr>
        <w:t>Radiological Physician Associates</w:t>
      </w:r>
    </w:p>
    <w:p w14:paraId="159ACD7F" w14:textId="4A77D91F" w:rsidR="00580E2B" w:rsidRPr="00580E2B" w:rsidRDefault="00580E2B" w:rsidP="009756FB">
      <w:pPr>
        <w:pStyle w:val="BodyTextIndent3"/>
        <w:ind w:left="0"/>
        <w:rPr>
          <w:b/>
          <w:bCs/>
          <w:u w:val="single"/>
        </w:rPr>
      </w:pPr>
      <w:r w:rsidRPr="00580E2B">
        <w:rPr>
          <w:b/>
          <w:bCs/>
          <w:u w:val="single"/>
        </w:rPr>
        <w:t>Radiology Physicians:</w:t>
      </w:r>
    </w:p>
    <w:p w14:paraId="7EE28E12" w14:textId="77777777" w:rsidR="002B4A4D" w:rsidRDefault="002B4A4D" w:rsidP="002B4A4D">
      <w:pPr>
        <w:rPr>
          <w:sz w:val="22"/>
          <w:szCs w:val="22"/>
        </w:rPr>
      </w:pPr>
      <w:r>
        <w:rPr>
          <w:sz w:val="22"/>
          <w:szCs w:val="22"/>
        </w:rPr>
        <w:t xml:space="preserve">William </w:t>
      </w:r>
      <w:proofErr w:type="spellStart"/>
      <w:r>
        <w:rPr>
          <w:sz w:val="22"/>
          <w:szCs w:val="22"/>
        </w:rPr>
        <w:t>Almasy</w:t>
      </w:r>
      <w:proofErr w:type="spellEnd"/>
      <w:r>
        <w:rPr>
          <w:sz w:val="22"/>
          <w:szCs w:val="22"/>
        </w:rPr>
        <w:t>, MD</w:t>
      </w:r>
    </w:p>
    <w:p w14:paraId="54715242" w14:textId="77777777" w:rsidR="002B4A4D" w:rsidRDefault="002B4A4D" w:rsidP="002B4A4D">
      <w:pPr>
        <w:rPr>
          <w:sz w:val="22"/>
          <w:szCs w:val="22"/>
        </w:rPr>
      </w:pPr>
      <w:r>
        <w:rPr>
          <w:sz w:val="22"/>
          <w:szCs w:val="22"/>
        </w:rPr>
        <w:t>Patrick Brown, MD</w:t>
      </w:r>
    </w:p>
    <w:p w14:paraId="1A6D826C" w14:textId="77777777" w:rsidR="002B4A4D" w:rsidRPr="004E03BE" w:rsidRDefault="002B4A4D" w:rsidP="002B4A4D">
      <w:pPr>
        <w:rPr>
          <w:sz w:val="22"/>
          <w:szCs w:val="22"/>
        </w:rPr>
      </w:pPr>
      <w:r w:rsidRPr="004E03BE">
        <w:rPr>
          <w:sz w:val="22"/>
          <w:szCs w:val="22"/>
        </w:rPr>
        <w:t xml:space="preserve">C. David </w:t>
      </w:r>
      <w:proofErr w:type="spellStart"/>
      <w:r w:rsidRPr="004E03BE">
        <w:rPr>
          <w:sz w:val="22"/>
          <w:szCs w:val="22"/>
        </w:rPr>
        <w:t>Burtner</w:t>
      </w:r>
      <w:proofErr w:type="spellEnd"/>
      <w:r w:rsidRPr="004E03BE">
        <w:rPr>
          <w:sz w:val="22"/>
          <w:szCs w:val="22"/>
        </w:rPr>
        <w:t>, MD</w:t>
      </w:r>
    </w:p>
    <w:p w14:paraId="763137E8" w14:textId="77777777" w:rsidR="002B4A4D" w:rsidRDefault="002B4A4D" w:rsidP="002B4A4D">
      <w:pPr>
        <w:rPr>
          <w:sz w:val="22"/>
          <w:szCs w:val="22"/>
        </w:rPr>
      </w:pPr>
      <w:r>
        <w:rPr>
          <w:sz w:val="22"/>
          <w:szCs w:val="22"/>
        </w:rPr>
        <w:t>Jason DeBerry, MD</w:t>
      </w:r>
    </w:p>
    <w:p w14:paraId="593AB4D8" w14:textId="77777777" w:rsidR="002B4A4D" w:rsidRDefault="002B4A4D" w:rsidP="002B4A4D">
      <w:pPr>
        <w:rPr>
          <w:sz w:val="22"/>
          <w:szCs w:val="22"/>
        </w:rPr>
      </w:pPr>
      <w:r>
        <w:rPr>
          <w:sz w:val="22"/>
          <w:szCs w:val="22"/>
        </w:rPr>
        <w:t xml:space="preserve">Don </w:t>
      </w:r>
      <w:proofErr w:type="spellStart"/>
      <w:r>
        <w:rPr>
          <w:sz w:val="22"/>
          <w:szCs w:val="22"/>
        </w:rPr>
        <w:t>DiGiovine</w:t>
      </w:r>
      <w:proofErr w:type="spellEnd"/>
      <w:r>
        <w:rPr>
          <w:sz w:val="22"/>
          <w:szCs w:val="22"/>
        </w:rPr>
        <w:t>, MD</w:t>
      </w:r>
    </w:p>
    <w:p w14:paraId="3C389C29" w14:textId="77777777" w:rsidR="002B4A4D" w:rsidRPr="004E03BE" w:rsidRDefault="002B4A4D" w:rsidP="002B4A4D">
      <w:pPr>
        <w:rPr>
          <w:sz w:val="22"/>
          <w:szCs w:val="22"/>
        </w:rPr>
      </w:pPr>
      <w:r w:rsidRPr="004E03BE">
        <w:rPr>
          <w:sz w:val="22"/>
          <w:szCs w:val="22"/>
        </w:rPr>
        <w:t xml:space="preserve">Joseph J. </w:t>
      </w:r>
      <w:proofErr w:type="spellStart"/>
      <w:r w:rsidRPr="004E03BE">
        <w:rPr>
          <w:sz w:val="22"/>
          <w:szCs w:val="22"/>
        </w:rPr>
        <w:t>Dorchak</w:t>
      </w:r>
      <w:proofErr w:type="spellEnd"/>
      <w:r w:rsidRPr="004E03BE">
        <w:rPr>
          <w:sz w:val="22"/>
          <w:szCs w:val="22"/>
        </w:rPr>
        <w:t>, MD</w:t>
      </w:r>
      <w:r>
        <w:rPr>
          <w:sz w:val="22"/>
          <w:szCs w:val="22"/>
        </w:rPr>
        <w:t xml:space="preserve"> – Medical Director</w:t>
      </w:r>
    </w:p>
    <w:p w14:paraId="62CB94A1" w14:textId="77777777" w:rsidR="002B4A4D" w:rsidRPr="004E03BE" w:rsidRDefault="002B4A4D" w:rsidP="002B4A4D">
      <w:pPr>
        <w:rPr>
          <w:sz w:val="22"/>
          <w:szCs w:val="22"/>
        </w:rPr>
      </w:pPr>
      <w:r w:rsidRPr="004E03BE">
        <w:rPr>
          <w:sz w:val="22"/>
          <w:szCs w:val="22"/>
        </w:rPr>
        <w:t>Frederick J. Gabriele, MD</w:t>
      </w:r>
    </w:p>
    <w:p w14:paraId="3711C61F" w14:textId="77777777" w:rsidR="002B4A4D" w:rsidRDefault="002B4A4D" w:rsidP="002B4A4D">
      <w:pPr>
        <w:rPr>
          <w:sz w:val="22"/>
          <w:szCs w:val="22"/>
        </w:rPr>
      </w:pPr>
      <w:r>
        <w:rPr>
          <w:sz w:val="22"/>
          <w:szCs w:val="22"/>
        </w:rPr>
        <w:t>Adam Hackney, MD</w:t>
      </w:r>
    </w:p>
    <w:p w14:paraId="3FEA60BD" w14:textId="77777777" w:rsidR="002B4A4D" w:rsidRPr="004E03BE" w:rsidRDefault="002B4A4D" w:rsidP="002B4A4D">
      <w:pPr>
        <w:rPr>
          <w:sz w:val="22"/>
          <w:szCs w:val="22"/>
        </w:rPr>
      </w:pPr>
      <w:r w:rsidRPr="004E03BE">
        <w:rPr>
          <w:sz w:val="22"/>
          <w:szCs w:val="22"/>
        </w:rPr>
        <w:t>Mark A. Hackney, MD</w:t>
      </w:r>
    </w:p>
    <w:p w14:paraId="1D8E0575" w14:textId="77777777" w:rsidR="002B4A4D" w:rsidRPr="004E03BE" w:rsidRDefault="002B4A4D" w:rsidP="002B4A4D">
      <w:pPr>
        <w:rPr>
          <w:sz w:val="22"/>
          <w:szCs w:val="22"/>
        </w:rPr>
      </w:pPr>
      <w:r w:rsidRPr="004E03BE">
        <w:rPr>
          <w:sz w:val="22"/>
          <w:szCs w:val="22"/>
        </w:rPr>
        <w:t>William L. Hirsch Jr., MD</w:t>
      </w:r>
    </w:p>
    <w:p w14:paraId="6C742853" w14:textId="77777777" w:rsidR="002B4A4D" w:rsidRDefault="002B4A4D" w:rsidP="002B4A4D">
      <w:pPr>
        <w:rPr>
          <w:sz w:val="22"/>
          <w:szCs w:val="22"/>
        </w:rPr>
      </w:pPr>
      <w:r w:rsidRPr="004E03BE">
        <w:rPr>
          <w:sz w:val="22"/>
          <w:szCs w:val="22"/>
        </w:rPr>
        <w:t xml:space="preserve">Thomas C. </w:t>
      </w:r>
      <w:proofErr w:type="spellStart"/>
      <w:r w:rsidRPr="004E03BE">
        <w:rPr>
          <w:sz w:val="22"/>
          <w:szCs w:val="22"/>
        </w:rPr>
        <w:t>Koay</w:t>
      </w:r>
      <w:proofErr w:type="spellEnd"/>
      <w:r w:rsidRPr="004E03BE">
        <w:rPr>
          <w:sz w:val="22"/>
          <w:szCs w:val="22"/>
        </w:rPr>
        <w:t>, MD</w:t>
      </w:r>
    </w:p>
    <w:p w14:paraId="3F3BFBA7" w14:textId="77777777" w:rsidR="002B4A4D" w:rsidRPr="004E03BE" w:rsidRDefault="002B4A4D" w:rsidP="002B4A4D">
      <w:pPr>
        <w:rPr>
          <w:sz w:val="22"/>
          <w:szCs w:val="22"/>
        </w:rPr>
      </w:pPr>
      <w:r>
        <w:rPr>
          <w:sz w:val="22"/>
          <w:szCs w:val="22"/>
        </w:rPr>
        <w:t xml:space="preserve">Evan </w:t>
      </w:r>
      <w:proofErr w:type="spellStart"/>
      <w:r>
        <w:rPr>
          <w:sz w:val="22"/>
          <w:szCs w:val="22"/>
        </w:rPr>
        <w:t>Kupec</w:t>
      </w:r>
      <w:proofErr w:type="spellEnd"/>
      <w:r>
        <w:rPr>
          <w:sz w:val="22"/>
          <w:szCs w:val="22"/>
        </w:rPr>
        <w:t>, MD</w:t>
      </w:r>
    </w:p>
    <w:p w14:paraId="7B32071D" w14:textId="77777777" w:rsidR="002B4A4D" w:rsidRPr="004E03BE" w:rsidRDefault="002B4A4D" w:rsidP="002B4A4D">
      <w:pPr>
        <w:rPr>
          <w:sz w:val="22"/>
          <w:szCs w:val="22"/>
        </w:rPr>
      </w:pPr>
      <w:r w:rsidRPr="004E03BE">
        <w:rPr>
          <w:sz w:val="22"/>
          <w:szCs w:val="22"/>
        </w:rPr>
        <w:t>Jon S. LaPlante, MD</w:t>
      </w:r>
    </w:p>
    <w:p w14:paraId="4947CE62" w14:textId="77777777" w:rsidR="002B4A4D" w:rsidRPr="004E03BE" w:rsidRDefault="002B4A4D" w:rsidP="002B4A4D">
      <w:pPr>
        <w:rPr>
          <w:sz w:val="22"/>
          <w:szCs w:val="22"/>
        </w:rPr>
      </w:pPr>
      <w:r w:rsidRPr="004E03BE">
        <w:rPr>
          <w:sz w:val="22"/>
          <w:szCs w:val="22"/>
        </w:rPr>
        <w:t>John A. Leon, MD</w:t>
      </w:r>
    </w:p>
    <w:p w14:paraId="62C56057" w14:textId="77777777" w:rsidR="002B4A4D" w:rsidRPr="004E03BE" w:rsidRDefault="002B4A4D" w:rsidP="002B4A4D">
      <w:pPr>
        <w:rPr>
          <w:sz w:val="22"/>
          <w:szCs w:val="22"/>
        </w:rPr>
      </w:pPr>
      <w:r w:rsidRPr="004E03BE">
        <w:rPr>
          <w:sz w:val="22"/>
          <w:szCs w:val="22"/>
        </w:rPr>
        <w:t xml:space="preserve">Joseph R. </w:t>
      </w:r>
      <w:proofErr w:type="spellStart"/>
      <w:r w:rsidRPr="004E03BE">
        <w:rPr>
          <w:sz w:val="22"/>
          <w:szCs w:val="22"/>
        </w:rPr>
        <w:t>Migaiolo</w:t>
      </w:r>
      <w:proofErr w:type="spellEnd"/>
      <w:r w:rsidRPr="004E03BE">
        <w:rPr>
          <w:sz w:val="22"/>
          <w:szCs w:val="22"/>
        </w:rPr>
        <w:t>, MD</w:t>
      </w:r>
    </w:p>
    <w:p w14:paraId="490DC22C" w14:textId="77777777" w:rsidR="002B4A4D" w:rsidRPr="004E03BE" w:rsidRDefault="002B4A4D" w:rsidP="002B4A4D">
      <w:pPr>
        <w:rPr>
          <w:sz w:val="22"/>
          <w:szCs w:val="22"/>
        </w:rPr>
      </w:pPr>
      <w:r w:rsidRPr="004E03BE">
        <w:rPr>
          <w:sz w:val="22"/>
          <w:szCs w:val="22"/>
        </w:rPr>
        <w:t>Richard E. Person, MD</w:t>
      </w:r>
    </w:p>
    <w:p w14:paraId="2FDEE049" w14:textId="77777777" w:rsidR="002B4A4D" w:rsidRPr="004E03BE" w:rsidRDefault="002B4A4D" w:rsidP="002B4A4D">
      <w:pPr>
        <w:rPr>
          <w:sz w:val="22"/>
          <w:szCs w:val="22"/>
        </w:rPr>
      </w:pPr>
      <w:r w:rsidRPr="004E03BE">
        <w:rPr>
          <w:sz w:val="22"/>
          <w:szCs w:val="22"/>
        </w:rPr>
        <w:t xml:space="preserve">David C. </w:t>
      </w:r>
      <w:proofErr w:type="spellStart"/>
      <w:r w:rsidRPr="004E03BE">
        <w:rPr>
          <w:sz w:val="22"/>
          <w:szCs w:val="22"/>
        </w:rPr>
        <w:t>Rosiello</w:t>
      </w:r>
      <w:proofErr w:type="spellEnd"/>
      <w:r w:rsidRPr="004E03BE">
        <w:rPr>
          <w:sz w:val="22"/>
          <w:szCs w:val="22"/>
        </w:rPr>
        <w:t>, MD</w:t>
      </w:r>
    </w:p>
    <w:p w14:paraId="144F233E" w14:textId="77777777" w:rsidR="002B4A4D" w:rsidRPr="004E03BE" w:rsidRDefault="002B4A4D" w:rsidP="002B4A4D">
      <w:pPr>
        <w:rPr>
          <w:sz w:val="22"/>
          <w:szCs w:val="22"/>
        </w:rPr>
      </w:pPr>
      <w:r w:rsidRPr="004E03BE">
        <w:rPr>
          <w:sz w:val="22"/>
          <w:szCs w:val="22"/>
        </w:rPr>
        <w:t>James A. Ross, MD</w:t>
      </w:r>
    </w:p>
    <w:p w14:paraId="3B07C961" w14:textId="77777777" w:rsidR="002B4A4D" w:rsidRDefault="002B4A4D" w:rsidP="002B4A4D">
      <w:pPr>
        <w:rPr>
          <w:sz w:val="22"/>
          <w:szCs w:val="22"/>
        </w:rPr>
      </w:pPr>
      <w:r>
        <w:rPr>
          <w:sz w:val="22"/>
          <w:szCs w:val="22"/>
        </w:rPr>
        <w:t>Cory Smith, MD</w:t>
      </w:r>
    </w:p>
    <w:p w14:paraId="34C56F7F" w14:textId="77777777" w:rsidR="002B4A4D" w:rsidRDefault="002B4A4D" w:rsidP="002B4A4D">
      <w:pPr>
        <w:rPr>
          <w:sz w:val="22"/>
          <w:szCs w:val="22"/>
        </w:rPr>
      </w:pPr>
      <w:r w:rsidRPr="004E03BE">
        <w:rPr>
          <w:sz w:val="22"/>
          <w:szCs w:val="22"/>
        </w:rPr>
        <w:t>Jason W. Stewart, MD</w:t>
      </w:r>
    </w:p>
    <w:p w14:paraId="15532C23" w14:textId="77777777" w:rsidR="002B4A4D" w:rsidRPr="004E03BE" w:rsidRDefault="002B4A4D" w:rsidP="002B4A4D">
      <w:pPr>
        <w:rPr>
          <w:sz w:val="22"/>
          <w:szCs w:val="22"/>
        </w:rPr>
      </w:pPr>
      <w:r>
        <w:rPr>
          <w:sz w:val="22"/>
          <w:szCs w:val="22"/>
        </w:rPr>
        <w:t>Garrett Stover, MD</w:t>
      </w:r>
    </w:p>
    <w:p w14:paraId="32D0FBC1" w14:textId="77777777" w:rsidR="002B4A4D" w:rsidRDefault="002B4A4D" w:rsidP="002B4A4D">
      <w:pPr>
        <w:rPr>
          <w:sz w:val="22"/>
          <w:szCs w:val="22"/>
        </w:rPr>
      </w:pPr>
      <w:r w:rsidRPr="004E03BE">
        <w:rPr>
          <w:sz w:val="22"/>
          <w:szCs w:val="22"/>
        </w:rPr>
        <w:t>W. Parke Thrush, MD</w:t>
      </w:r>
    </w:p>
    <w:p w14:paraId="1656E811" w14:textId="7FB10110" w:rsidR="002B4A4D" w:rsidRDefault="002B4A4D" w:rsidP="002B4A4D">
      <w:pPr>
        <w:rPr>
          <w:sz w:val="22"/>
          <w:szCs w:val="22"/>
        </w:rPr>
      </w:pPr>
      <w:r>
        <w:rPr>
          <w:sz w:val="22"/>
          <w:szCs w:val="22"/>
        </w:rPr>
        <w:t xml:space="preserve">Wesley </w:t>
      </w:r>
      <w:proofErr w:type="spellStart"/>
      <w:r>
        <w:rPr>
          <w:sz w:val="22"/>
          <w:szCs w:val="22"/>
        </w:rPr>
        <w:t>Tuel</w:t>
      </w:r>
      <w:proofErr w:type="spellEnd"/>
      <w:r>
        <w:rPr>
          <w:sz w:val="22"/>
          <w:szCs w:val="22"/>
        </w:rPr>
        <w:t>, MD</w:t>
      </w:r>
    </w:p>
    <w:p w14:paraId="4482AFAF" w14:textId="649AA390" w:rsidR="002B4A4D" w:rsidRDefault="002B4A4D" w:rsidP="002B4A4D">
      <w:pPr>
        <w:rPr>
          <w:sz w:val="22"/>
          <w:szCs w:val="22"/>
        </w:rPr>
      </w:pPr>
    </w:p>
    <w:p w14:paraId="4F8365BB" w14:textId="77777777" w:rsidR="002B4A4D" w:rsidRDefault="002B4A4D" w:rsidP="009756FB">
      <w:pPr>
        <w:pStyle w:val="BodyTextIndent3"/>
        <w:ind w:left="0"/>
      </w:pPr>
    </w:p>
    <w:p w14:paraId="063E5CFE" w14:textId="77777777" w:rsidR="009756FB" w:rsidRPr="00B82060" w:rsidRDefault="009756FB" w:rsidP="009756FB">
      <w:pPr>
        <w:pStyle w:val="BodyTextIndent3"/>
        <w:ind w:left="0"/>
      </w:pPr>
    </w:p>
    <w:sectPr w:rsidR="009756FB" w:rsidRPr="00B82060" w:rsidSect="00FA49B3">
      <w:footerReference w:type="even" r:id="rId9"/>
      <w:footerReference w:type="default" r:id="rId1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681A18" w14:textId="77777777" w:rsidR="00C00031" w:rsidRDefault="00C00031">
      <w:r>
        <w:separator/>
      </w:r>
    </w:p>
  </w:endnote>
  <w:endnote w:type="continuationSeparator" w:id="0">
    <w:p w14:paraId="7AFF6145" w14:textId="77777777" w:rsidR="00C00031" w:rsidRDefault="00C000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altName w:val="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8FDDB9" w14:textId="77777777" w:rsidR="00F45482" w:rsidRDefault="000A251B">
    <w:pPr>
      <w:pStyle w:val="Footer"/>
      <w:framePr w:wrap="around" w:vAnchor="text" w:hAnchor="margin" w:xAlign="right" w:y="1"/>
      <w:rPr>
        <w:rStyle w:val="PageNumber"/>
      </w:rPr>
    </w:pPr>
    <w:r>
      <w:rPr>
        <w:rStyle w:val="PageNumber"/>
      </w:rPr>
      <w:fldChar w:fldCharType="begin"/>
    </w:r>
    <w:r w:rsidR="00F45482">
      <w:rPr>
        <w:rStyle w:val="PageNumber"/>
      </w:rPr>
      <w:instrText xml:space="preserve">PAGE  </w:instrText>
    </w:r>
    <w:r>
      <w:rPr>
        <w:rStyle w:val="PageNumber"/>
      </w:rPr>
      <w:fldChar w:fldCharType="end"/>
    </w:r>
  </w:p>
  <w:p w14:paraId="4939CF3C" w14:textId="77777777" w:rsidR="00F45482" w:rsidRDefault="00F4548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A272FE" w14:textId="77777777" w:rsidR="00F45482" w:rsidRDefault="000A251B">
    <w:pPr>
      <w:pStyle w:val="Footer"/>
      <w:jc w:val="right"/>
    </w:pPr>
    <w:r>
      <w:fldChar w:fldCharType="begin"/>
    </w:r>
    <w:r w:rsidR="00CD44C3">
      <w:instrText xml:space="preserve"> PAGE   \* MERGEFORMAT </w:instrText>
    </w:r>
    <w:r>
      <w:fldChar w:fldCharType="separate"/>
    </w:r>
    <w:r w:rsidR="009546C6">
      <w:rPr>
        <w:noProof/>
      </w:rPr>
      <w:t>1</w:t>
    </w:r>
    <w:r>
      <w:rPr>
        <w:noProof/>
      </w:rPr>
      <w:fldChar w:fldCharType="end"/>
    </w:r>
  </w:p>
  <w:p w14:paraId="3222552A" w14:textId="77777777" w:rsidR="00F45482" w:rsidRDefault="00F4548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83E6C0" w14:textId="77777777" w:rsidR="00C00031" w:rsidRDefault="00C00031">
      <w:r>
        <w:separator/>
      </w:r>
    </w:p>
  </w:footnote>
  <w:footnote w:type="continuationSeparator" w:id="0">
    <w:p w14:paraId="7D4A1426" w14:textId="77777777" w:rsidR="00C00031" w:rsidRDefault="00C000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04A44"/>
    <w:multiLevelType w:val="hybridMultilevel"/>
    <w:tmpl w:val="6186A806"/>
    <w:lvl w:ilvl="0" w:tplc="04090001">
      <w:start w:val="1"/>
      <w:numFmt w:val="bullet"/>
      <w:lvlText w:val=""/>
      <w:lvlJc w:val="left"/>
      <w:pPr>
        <w:tabs>
          <w:tab w:val="num" w:pos="720"/>
        </w:tabs>
        <w:ind w:left="720" w:hanging="360"/>
      </w:pPr>
      <w:rPr>
        <w:rFonts w:ascii="Symbol" w:hAnsi="Symbol" w:hint="default"/>
      </w:rPr>
    </w:lvl>
    <w:lvl w:ilvl="1" w:tplc="3202CD52">
      <w:start w:val="2"/>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360"/>
      </w:pPr>
      <w:rPr>
        <w:rFonts w:hint="default"/>
      </w:rPr>
    </w:lvl>
    <w:lvl w:ilvl="3" w:tplc="04090001">
      <w:start w:val="1"/>
      <w:numFmt w:val="bullet"/>
      <w:lvlText w:val=""/>
      <w:lvlJc w:val="left"/>
      <w:pPr>
        <w:tabs>
          <w:tab w:val="num" w:pos="2880"/>
        </w:tabs>
        <w:ind w:left="2880" w:hanging="360"/>
      </w:pPr>
      <w:rPr>
        <w:rFonts w:ascii="Symbol" w:hAnsi="Symbol" w:hint="default"/>
      </w:rPr>
    </w:lvl>
    <w:lvl w:ilvl="4" w:tplc="41A02CF6">
      <w:start w:val="1"/>
      <w:numFmt w:val="bullet"/>
      <w:lvlText w:val="o"/>
      <w:lvlJc w:val="left"/>
      <w:pPr>
        <w:tabs>
          <w:tab w:val="num" w:pos="3600"/>
        </w:tabs>
        <w:ind w:left="3600" w:hanging="360"/>
      </w:pPr>
      <w:rPr>
        <w:rFonts w:ascii="Courier New" w:hAnsi="Courier New" w:hint="default"/>
        <w:color w:val="auto"/>
      </w:rPr>
    </w:lvl>
    <w:lvl w:ilvl="5" w:tplc="8E6E84D8">
      <w:start w:val="1"/>
      <w:numFmt w:val="bullet"/>
      <w:lvlText w:val=""/>
      <w:lvlJc w:val="left"/>
      <w:pPr>
        <w:tabs>
          <w:tab w:val="num" w:pos="4320"/>
        </w:tabs>
        <w:ind w:left="4320" w:hanging="360"/>
      </w:pPr>
      <w:rPr>
        <w:rFonts w:ascii="Wingdings" w:hAnsi="Wingdings" w:hint="default"/>
        <w:color w:val="auto"/>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985912"/>
    <w:multiLevelType w:val="hybridMultilevel"/>
    <w:tmpl w:val="D520EB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024C14"/>
    <w:multiLevelType w:val="hybridMultilevel"/>
    <w:tmpl w:val="D15894D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C007005"/>
    <w:multiLevelType w:val="hybridMultilevel"/>
    <w:tmpl w:val="700863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0E5A6C"/>
    <w:multiLevelType w:val="hybridMultilevel"/>
    <w:tmpl w:val="6C0EF462"/>
    <w:lvl w:ilvl="0" w:tplc="1C1CB3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D810CB8"/>
    <w:multiLevelType w:val="hybridMultilevel"/>
    <w:tmpl w:val="C4E8731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2822B5"/>
    <w:multiLevelType w:val="hybridMultilevel"/>
    <w:tmpl w:val="FBE65F62"/>
    <w:lvl w:ilvl="0" w:tplc="A46AE5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03968CF"/>
    <w:multiLevelType w:val="hybridMultilevel"/>
    <w:tmpl w:val="AB72B16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C0F6538"/>
    <w:multiLevelType w:val="hybridMultilevel"/>
    <w:tmpl w:val="E5CEA1A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3AF06BA"/>
    <w:multiLevelType w:val="hybridMultilevel"/>
    <w:tmpl w:val="55E22D5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984236F"/>
    <w:multiLevelType w:val="hybridMultilevel"/>
    <w:tmpl w:val="81843C06"/>
    <w:lvl w:ilvl="0" w:tplc="78EA33F4">
      <w:start w:val="9"/>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507C7C1A"/>
    <w:multiLevelType w:val="hybridMultilevel"/>
    <w:tmpl w:val="92A2E00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6754567A"/>
    <w:multiLevelType w:val="hybridMultilevel"/>
    <w:tmpl w:val="B77A4E4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A6D23D3"/>
    <w:multiLevelType w:val="hybridMultilevel"/>
    <w:tmpl w:val="2AD0C2D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2FE44B0"/>
    <w:multiLevelType w:val="hybridMultilevel"/>
    <w:tmpl w:val="56F8FEF6"/>
    <w:lvl w:ilvl="0" w:tplc="11D69C78">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32C321C"/>
    <w:multiLevelType w:val="hybridMultilevel"/>
    <w:tmpl w:val="E64A41DC"/>
    <w:lvl w:ilvl="0" w:tplc="C0564F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3677E9E"/>
    <w:multiLevelType w:val="hybridMultilevel"/>
    <w:tmpl w:val="86141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53D6C4A"/>
    <w:multiLevelType w:val="hybridMultilevel"/>
    <w:tmpl w:val="B5AAA990"/>
    <w:lvl w:ilvl="0" w:tplc="30709FCA">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68C3605"/>
    <w:multiLevelType w:val="hybridMultilevel"/>
    <w:tmpl w:val="D40EB9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7E432A91"/>
    <w:multiLevelType w:val="hybridMultilevel"/>
    <w:tmpl w:val="53F8B89A"/>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EA54E9B"/>
    <w:multiLevelType w:val="hybridMultilevel"/>
    <w:tmpl w:val="B66A7684"/>
    <w:lvl w:ilvl="0" w:tplc="1A3CF54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0"/>
  </w:num>
  <w:num w:numId="3">
    <w:abstractNumId w:val="4"/>
  </w:num>
  <w:num w:numId="4">
    <w:abstractNumId w:val="10"/>
  </w:num>
  <w:num w:numId="5">
    <w:abstractNumId w:val="17"/>
  </w:num>
  <w:num w:numId="6">
    <w:abstractNumId w:val="2"/>
  </w:num>
  <w:num w:numId="7">
    <w:abstractNumId w:val="8"/>
  </w:num>
  <w:num w:numId="8">
    <w:abstractNumId w:val="19"/>
  </w:num>
  <w:num w:numId="9">
    <w:abstractNumId w:val="11"/>
  </w:num>
  <w:num w:numId="10">
    <w:abstractNumId w:val="6"/>
  </w:num>
  <w:num w:numId="11">
    <w:abstractNumId w:val="13"/>
  </w:num>
  <w:num w:numId="12">
    <w:abstractNumId w:val="3"/>
  </w:num>
  <w:num w:numId="13">
    <w:abstractNumId w:val="15"/>
  </w:num>
  <w:num w:numId="14">
    <w:abstractNumId w:val="7"/>
  </w:num>
  <w:num w:numId="15">
    <w:abstractNumId w:val="16"/>
  </w:num>
  <w:num w:numId="16">
    <w:abstractNumId w:val="1"/>
  </w:num>
  <w:num w:numId="17">
    <w:abstractNumId w:val="14"/>
  </w:num>
  <w:num w:numId="18">
    <w:abstractNumId w:val="18"/>
  </w:num>
  <w:num w:numId="19">
    <w:abstractNumId w:val="20"/>
  </w:num>
  <w:num w:numId="20">
    <w:abstractNumId w:val="9"/>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D3A"/>
    <w:rsid w:val="0002254D"/>
    <w:rsid w:val="00055F2A"/>
    <w:rsid w:val="0008076F"/>
    <w:rsid w:val="0009064A"/>
    <w:rsid w:val="000911DD"/>
    <w:rsid w:val="000A251B"/>
    <w:rsid w:val="000B2773"/>
    <w:rsid w:val="0014691E"/>
    <w:rsid w:val="00157FE5"/>
    <w:rsid w:val="0017412A"/>
    <w:rsid w:val="00184B16"/>
    <w:rsid w:val="001E2E7C"/>
    <w:rsid w:val="001E4FA4"/>
    <w:rsid w:val="00283BE9"/>
    <w:rsid w:val="002A4D91"/>
    <w:rsid w:val="002B4A4D"/>
    <w:rsid w:val="002B79CF"/>
    <w:rsid w:val="002C13B9"/>
    <w:rsid w:val="003415A0"/>
    <w:rsid w:val="00350923"/>
    <w:rsid w:val="0037617D"/>
    <w:rsid w:val="003A4D59"/>
    <w:rsid w:val="003D39E0"/>
    <w:rsid w:val="003F50F4"/>
    <w:rsid w:val="00433203"/>
    <w:rsid w:val="0047016F"/>
    <w:rsid w:val="004B091A"/>
    <w:rsid w:val="004C4CD6"/>
    <w:rsid w:val="004D18FC"/>
    <w:rsid w:val="004E3FC2"/>
    <w:rsid w:val="00503540"/>
    <w:rsid w:val="0057440F"/>
    <w:rsid w:val="00580E2B"/>
    <w:rsid w:val="005F0B34"/>
    <w:rsid w:val="00615EAC"/>
    <w:rsid w:val="00631291"/>
    <w:rsid w:val="006558A4"/>
    <w:rsid w:val="00670492"/>
    <w:rsid w:val="006A79F3"/>
    <w:rsid w:val="006E0208"/>
    <w:rsid w:val="00730B22"/>
    <w:rsid w:val="00760784"/>
    <w:rsid w:val="007D0AD3"/>
    <w:rsid w:val="007D0E7F"/>
    <w:rsid w:val="00813A39"/>
    <w:rsid w:val="00815D3A"/>
    <w:rsid w:val="00851FFD"/>
    <w:rsid w:val="008711D4"/>
    <w:rsid w:val="008714E7"/>
    <w:rsid w:val="00881C38"/>
    <w:rsid w:val="008A5384"/>
    <w:rsid w:val="008E6E13"/>
    <w:rsid w:val="00921DD5"/>
    <w:rsid w:val="0093468F"/>
    <w:rsid w:val="009546C6"/>
    <w:rsid w:val="009722C8"/>
    <w:rsid w:val="00973352"/>
    <w:rsid w:val="009756FB"/>
    <w:rsid w:val="009835AA"/>
    <w:rsid w:val="009A64D9"/>
    <w:rsid w:val="009E5B88"/>
    <w:rsid w:val="00A20A1F"/>
    <w:rsid w:val="00A56561"/>
    <w:rsid w:val="00A650B3"/>
    <w:rsid w:val="00A76552"/>
    <w:rsid w:val="00AA5B3F"/>
    <w:rsid w:val="00AF4DF9"/>
    <w:rsid w:val="00B03A80"/>
    <w:rsid w:val="00B23713"/>
    <w:rsid w:val="00B56515"/>
    <w:rsid w:val="00B6678B"/>
    <w:rsid w:val="00B82060"/>
    <w:rsid w:val="00B9349A"/>
    <w:rsid w:val="00BB7E62"/>
    <w:rsid w:val="00C00031"/>
    <w:rsid w:val="00C14389"/>
    <w:rsid w:val="00C37439"/>
    <w:rsid w:val="00C61CEE"/>
    <w:rsid w:val="00C61FB8"/>
    <w:rsid w:val="00C705FC"/>
    <w:rsid w:val="00C9168C"/>
    <w:rsid w:val="00CD44C3"/>
    <w:rsid w:val="00CE1FC3"/>
    <w:rsid w:val="00CF3BBB"/>
    <w:rsid w:val="00D64B02"/>
    <w:rsid w:val="00D8338B"/>
    <w:rsid w:val="00DA6BD1"/>
    <w:rsid w:val="00DE14F9"/>
    <w:rsid w:val="00DE37A1"/>
    <w:rsid w:val="00E7484F"/>
    <w:rsid w:val="00EC445A"/>
    <w:rsid w:val="00ED36C5"/>
    <w:rsid w:val="00EE6662"/>
    <w:rsid w:val="00EF4CFD"/>
    <w:rsid w:val="00F1638B"/>
    <w:rsid w:val="00F45482"/>
    <w:rsid w:val="00FA49B3"/>
    <w:rsid w:val="00FC063E"/>
    <w:rsid w:val="00FC64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1E6C8B"/>
  <w15:docId w15:val="{15D48286-4BC6-4087-8D9B-96AAD6CE8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A251B"/>
  </w:style>
  <w:style w:type="paragraph" w:styleId="Heading1">
    <w:name w:val="heading 1"/>
    <w:basedOn w:val="Normal"/>
    <w:next w:val="Normal"/>
    <w:qFormat/>
    <w:rsid w:val="000A251B"/>
    <w:pPr>
      <w:keepNext/>
      <w:outlineLvl w:val="0"/>
    </w:pPr>
    <w:rPr>
      <w:b/>
      <w:bCs/>
    </w:rPr>
  </w:style>
  <w:style w:type="paragraph" w:styleId="Heading2">
    <w:name w:val="heading 2"/>
    <w:basedOn w:val="Normal"/>
    <w:next w:val="Normal"/>
    <w:qFormat/>
    <w:rsid w:val="000A251B"/>
    <w:pPr>
      <w:keepNext/>
      <w:outlineLvl w:val="1"/>
    </w:pPr>
    <w:rPr>
      <w:b/>
      <w:bCs/>
      <w:u w:val="single"/>
    </w:rPr>
  </w:style>
  <w:style w:type="paragraph" w:styleId="Heading3">
    <w:name w:val="heading 3"/>
    <w:basedOn w:val="Normal"/>
    <w:next w:val="Normal"/>
    <w:qFormat/>
    <w:rsid w:val="000A251B"/>
    <w:pPr>
      <w:keepNext/>
      <w:ind w:left="720"/>
      <w:outlineLvl w:val="2"/>
    </w:pPr>
    <w:rPr>
      <w:rFonts w:ascii="Book Antiqua" w:hAnsi="Book Antiqua"/>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0A251B"/>
    <w:pPr>
      <w:ind w:left="720"/>
    </w:pPr>
  </w:style>
  <w:style w:type="paragraph" w:styleId="Title">
    <w:name w:val="Title"/>
    <w:basedOn w:val="Normal"/>
    <w:qFormat/>
    <w:rsid w:val="000A251B"/>
    <w:pPr>
      <w:jc w:val="center"/>
    </w:pPr>
    <w:rPr>
      <w:b/>
      <w:bCs/>
      <w:sz w:val="28"/>
    </w:rPr>
  </w:style>
  <w:style w:type="paragraph" w:styleId="BodyTextIndent2">
    <w:name w:val="Body Text Indent 2"/>
    <w:basedOn w:val="Normal"/>
    <w:semiHidden/>
    <w:rsid w:val="000A251B"/>
    <w:pPr>
      <w:ind w:left="1440" w:hanging="720"/>
    </w:pPr>
    <w:rPr>
      <w:rFonts w:ascii="Book Antiqua" w:hAnsi="Book Antiqua"/>
      <w:sz w:val="24"/>
    </w:rPr>
  </w:style>
  <w:style w:type="paragraph" w:styleId="BodyTextIndent3">
    <w:name w:val="Body Text Indent 3"/>
    <w:basedOn w:val="Normal"/>
    <w:semiHidden/>
    <w:rsid w:val="000A251B"/>
    <w:pPr>
      <w:ind w:left="720"/>
    </w:pPr>
    <w:rPr>
      <w:rFonts w:ascii="Book Antiqua" w:hAnsi="Book Antiqua"/>
      <w:sz w:val="24"/>
    </w:rPr>
  </w:style>
  <w:style w:type="paragraph" w:styleId="Footer">
    <w:name w:val="footer"/>
    <w:basedOn w:val="Normal"/>
    <w:link w:val="FooterChar"/>
    <w:uiPriority w:val="99"/>
    <w:rsid w:val="000A251B"/>
    <w:pPr>
      <w:tabs>
        <w:tab w:val="center" w:pos="4320"/>
        <w:tab w:val="right" w:pos="8640"/>
      </w:tabs>
    </w:pPr>
  </w:style>
  <w:style w:type="character" w:styleId="PageNumber">
    <w:name w:val="page number"/>
    <w:basedOn w:val="DefaultParagraphFont"/>
    <w:semiHidden/>
    <w:rsid w:val="000A251B"/>
  </w:style>
  <w:style w:type="paragraph" w:styleId="ListParagraph">
    <w:name w:val="List Paragraph"/>
    <w:basedOn w:val="Normal"/>
    <w:uiPriority w:val="34"/>
    <w:qFormat/>
    <w:rsid w:val="00815D3A"/>
    <w:pPr>
      <w:ind w:left="720"/>
    </w:pPr>
  </w:style>
  <w:style w:type="paragraph" w:styleId="BalloonText">
    <w:name w:val="Balloon Text"/>
    <w:basedOn w:val="Normal"/>
    <w:link w:val="BalloonTextChar"/>
    <w:uiPriority w:val="99"/>
    <w:semiHidden/>
    <w:unhideWhenUsed/>
    <w:rsid w:val="00631291"/>
    <w:rPr>
      <w:rFonts w:ascii="Tahoma" w:hAnsi="Tahoma" w:cs="Tahoma"/>
      <w:sz w:val="16"/>
      <w:szCs w:val="16"/>
    </w:rPr>
  </w:style>
  <w:style w:type="character" w:customStyle="1" w:styleId="BalloonTextChar">
    <w:name w:val="Balloon Text Char"/>
    <w:basedOn w:val="DefaultParagraphFont"/>
    <w:link w:val="BalloonText"/>
    <w:uiPriority w:val="99"/>
    <w:semiHidden/>
    <w:rsid w:val="00631291"/>
    <w:rPr>
      <w:rFonts w:ascii="Tahoma" w:hAnsi="Tahoma" w:cs="Tahoma"/>
      <w:sz w:val="16"/>
      <w:szCs w:val="16"/>
    </w:rPr>
  </w:style>
  <w:style w:type="paragraph" w:styleId="Header">
    <w:name w:val="header"/>
    <w:basedOn w:val="Normal"/>
    <w:link w:val="HeaderChar"/>
    <w:uiPriority w:val="99"/>
    <w:semiHidden/>
    <w:unhideWhenUsed/>
    <w:rsid w:val="002A4D91"/>
    <w:pPr>
      <w:tabs>
        <w:tab w:val="center" w:pos="4680"/>
        <w:tab w:val="right" w:pos="9360"/>
      </w:tabs>
    </w:pPr>
  </w:style>
  <w:style w:type="character" w:customStyle="1" w:styleId="HeaderChar">
    <w:name w:val="Header Char"/>
    <w:basedOn w:val="DefaultParagraphFont"/>
    <w:link w:val="Header"/>
    <w:uiPriority w:val="99"/>
    <w:semiHidden/>
    <w:rsid w:val="002A4D91"/>
  </w:style>
  <w:style w:type="character" w:customStyle="1" w:styleId="FooterChar">
    <w:name w:val="Footer Char"/>
    <w:basedOn w:val="DefaultParagraphFont"/>
    <w:link w:val="Footer"/>
    <w:uiPriority w:val="99"/>
    <w:rsid w:val="002A4D91"/>
  </w:style>
  <w:style w:type="character" w:styleId="Hyperlink">
    <w:name w:val="Hyperlink"/>
    <w:basedOn w:val="DefaultParagraphFont"/>
    <w:uiPriority w:val="99"/>
    <w:unhideWhenUsed/>
    <w:rsid w:val="0047016F"/>
    <w:rPr>
      <w:color w:val="0000FF" w:themeColor="hyperlink"/>
      <w:u w:val="single"/>
    </w:rPr>
  </w:style>
  <w:style w:type="character" w:styleId="UnresolvedMention">
    <w:name w:val="Unresolved Mention"/>
    <w:basedOn w:val="DefaultParagraphFont"/>
    <w:uiPriority w:val="99"/>
    <w:semiHidden/>
    <w:unhideWhenUsed/>
    <w:rsid w:val="004701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roanegeneralhospital.com/patient-resources"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1735</Words>
  <Characters>9891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Roane General Hospital</vt:lpstr>
    </vt:vector>
  </TitlesOfParts>
  <Company>Roane General Hospital</Company>
  <LinksUpToDate>false</LinksUpToDate>
  <CharactersWithSpaces>11603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Roane General Hospital</dc:title>
  <dc:creator>Roane General Hospital</dc:creator>
  <cp:lastModifiedBy>michael teel</cp:lastModifiedBy>
  <cp:revision>2</cp:revision>
  <cp:lastPrinted>2016-12-12T16:40:00Z</cp:lastPrinted>
  <dcterms:created xsi:type="dcterms:W3CDTF">2019-09-23T20:33:00Z</dcterms:created>
  <dcterms:modified xsi:type="dcterms:W3CDTF">2019-09-23T20:33:00Z</dcterms:modified>
</cp:coreProperties>
</file>